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55A64744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431C3727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16</w:t>
      </w:r>
      <w:r w:rsidR="00857B88">
        <w:rPr>
          <w:b/>
          <w:bCs/>
          <w:color w:val="000000" w:themeColor="text1"/>
          <w:sz w:val="28"/>
          <w:szCs w:val="28"/>
        </w:rPr>
        <w:t xml:space="preserve"> декабря 2021 года №</w:t>
      </w:r>
      <w:r>
        <w:rPr>
          <w:b/>
          <w:bCs/>
          <w:color w:val="000000" w:themeColor="text1"/>
          <w:sz w:val="28"/>
          <w:szCs w:val="28"/>
        </w:rPr>
        <w:t xml:space="preserve"> 89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5B08A33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56B5A03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05BA4C27" w14:textId="688E6100" w:rsidR="00654C53" w:rsidRPr="00817F11" w:rsidRDefault="00654C53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54C53">
        <w:rPr>
          <w:sz w:val="28"/>
          <w:szCs w:val="28"/>
        </w:rPr>
        <w:t>2. Признать утратившим силу Постановление администрации сельского поселения Хорошенькое муниципального района Красноярский Самарской области от 08.11.2021 №7</w:t>
      </w:r>
      <w:r>
        <w:rPr>
          <w:sz w:val="28"/>
          <w:szCs w:val="28"/>
        </w:rPr>
        <w:t>4 «</w:t>
      </w:r>
      <w:r w:rsidRPr="00654C53">
        <w:rPr>
          <w:sz w:val="28"/>
          <w:szCs w:val="28"/>
        </w:rPr>
        <w:t xml:space="preserve">Об утверждении Программы профилактики </w:t>
      </w:r>
      <w:r w:rsidRPr="00654C53">
        <w:rPr>
          <w:sz w:val="28"/>
          <w:szCs w:val="28"/>
        </w:rPr>
        <w:lastRenderedPageBreak/>
        <w:t>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Хорошенькое муниципального района Красноярский Самарской области на 2022 год</w:t>
      </w:r>
      <w:r>
        <w:rPr>
          <w:sz w:val="28"/>
          <w:szCs w:val="28"/>
        </w:rPr>
        <w:t>».</w:t>
      </w:r>
    </w:p>
    <w:p w14:paraId="22F12F4C" w14:textId="6CD977BD" w:rsidR="0060606B" w:rsidRPr="00817F11" w:rsidRDefault="00654C5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2ECEA6ED" w:rsidR="0060606B" w:rsidRPr="00817F11" w:rsidRDefault="00654C5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2344EE1F" w:rsidR="00597329" w:rsidRPr="006928D7" w:rsidRDefault="00E0260C" w:rsidP="00597329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597329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597329" w:rsidRPr="006928D7">
        <w:rPr>
          <w:color w:val="000000" w:themeColor="text1"/>
          <w:sz w:val="28"/>
          <w:szCs w:val="28"/>
        </w:rPr>
        <w:t xml:space="preserve"> </w:t>
      </w:r>
      <w:r w:rsidR="00597329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1D992F75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857B88">
        <w:rPr>
          <w:bCs/>
          <w:color w:val="000000" w:themeColor="text1"/>
          <w:sz w:val="28"/>
          <w:szCs w:val="28"/>
        </w:rPr>
        <w:t>Ж.С. Жанбас</w:t>
      </w:r>
      <w:r w:rsidR="004E118F">
        <w:rPr>
          <w:bCs/>
          <w:color w:val="000000" w:themeColor="text1"/>
          <w:sz w:val="28"/>
          <w:szCs w:val="28"/>
        </w:rPr>
        <w:t>а</w:t>
      </w:r>
      <w:r w:rsidR="00857B88">
        <w:rPr>
          <w:bCs/>
          <w:color w:val="000000" w:themeColor="text1"/>
          <w:sz w:val="28"/>
          <w:szCs w:val="28"/>
        </w:rPr>
        <w:t>ров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27D8629E" w14:textId="2B4E90D7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654C53">
        <w:rPr>
          <w:color w:val="000000" w:themeColor="text1"/>
        </w:rPr>
        <w:t xml:space="preserve"> 16.12.</w:t>
      </w:r>
      <w:r w:rsidRPr="00654C53">
        <w:rPr>
          <w:color w:val="000000" w:themeColor="text1"/>
        </w:rPr>
        <w:t>2021 №</w:t>
      </w:r>
      <w:r w:rsidR="00654C53">
        <w:rPr>
          <w:color w:val="000000" w:themeColor="text1"/>
        </w:rPr>
        <w:t xml:space="preserve"> 89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0174FF7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EEDB77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E9D05BA" w:rsidR="001B3930" w:rsidRPr="00926515" w:rsidRDefault="001B3930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bookmarkStart w:id="0" w:name="_GoBack"/>
            <w:bookmarkEnd w:id="0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lastRenderedPageBreak/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54954C4D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597329" w:rsidRPr="00597329">
        <w:rPr>
          <w:color w:val="22272F"/>
          <w:sz w:val="28"/>
          <w:szCs w:val="28"/>
        </w:rPr>
        <w:lastRenderedPageBreak/>
        <w:t>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9600" w14:textId="77777777" w:rsidR="00A72156" w:rsidRDefault="00A72156" w:rsidP="000C41D0">
      <w:r>
        <w:separator/>
      </w:r>
    </w:p>
  </w:endnote>
  <w:endnote w:type="continuationSeparator" w:id="0">
    <w:p w14:paraId="1E0ADEC6" w14:textId="77777777" w:rsidR="00A72156" w:rsidRDefault="00A7215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E834" w14:textId="77777777" w:rsidR="00A72156" w:rsidRDefault="00A72156" w:rsidP="000C41D0">
      <w:r>
        <w:separator/>
      </w:r>
    </w:p>
  </w:footnote>
  <w:footnote w:type="continuationSeparator" w:id="0">
    <w:p w14:paraId="5FB164E1" w14:textId="77777777" w:rsidR="00A72156" w:rsidRDefault="00A7215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3660E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12</cp:revision>
  <cp:lastPrinted>2021-12-16T07:22:00Z</cp:lastPrinted>
  <dcterms:created xsi:type="dcterms:W3CDTF">2021-09-14T06:05:00Z</dcterms:created>
  <dcterms:modified xsi:type="dcterms:W3CDTF">2021-12-16T07:23:00Z</dcterms:modified>
</cp:coreProperties>
</file>