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75" w:rsidRDefault="00AD3C67" w:rsidP="00AD3C67">
      <w:pPr>
        <w:spacing w:after="0" w:line="360" w:lineRule="auto"/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-252730</wp:posOffset>
            </wp:positionV>
            <wp:extent cx="628650" cy="752475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D75" w:rsidRPr="00B7265E" w:rsidRDefault="00905D75" w:rsidP="00905D75">
      <w:pPr>
        <w:pStyle w:val="a8"/>
        <w:spacing w:before="0" w:line="240" w:lineRule="auto"/>
        <w:rPr>
          <w:rFonts w:ascii="Times New Roman" w:hAnsi="Times New Roman"/>
          <w:sz w:val="28"/>
          <w:szCs w:val="28"/>
        </w:rPr>
      </w:pPr>
      <w:r w:rsidRPr="00B7265E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905D75" w:rsidRPr="00B7265E" w:rsidRDefault="00905D75" w:rsidP="00905D75">
      <w:pPr>
        <w:pStyle w:val="a8"/>
        <w:spacing w:before="0" w:line="240" w:lineRule="auto"/>
        <w:rPr>
          <w:rFonts w:ascii="Times New Roman" w:hAnsi="Times New Roman"/>
          <w:sz w:val="28"/>
          <w:szCs w:val="28"/>
        </w:rPr>
      </w:pPr>
      <w:r w:rsidRPr="00B7265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СТАРАЯ</w:t>
      </w:r>
      <w:proofErr w:type="gramEnd"/>
      <w:r>
        <w:rPr>
          <w:rFonts w:ascii="Times New Roman" w:hAnsi="Times New Roman"/>
          <w:sz w:val="28"/>
          <w:szCs w:val="28"/>
        </w:rPr>
        <w:t xml:space="preserve"> БИНАРАДКА</w:t>
      </w:r>
    </w:p>
    <w:p w:rsidR="00905D75" w:rsidRPr="00B7265E" w:rsidRDefault="00905D75" w:rsidP="00905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B7265E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B72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D75" w:rsidRPr="00953CBE" w:rsidRDefault="00905D75" w:rsidP="00905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40E13" w:rsidRPr="003F7B0B" w:rsidRDefault="00905D75" w:rsidP="003F7B0B">
      <w:pPr>
        <w:spacing w:after="0" w:line="360" w:lineRule="auto"/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val="en-US" w:eastAsia="ru-RU"/>
        </w:rPr>
      </w:pPr>
      <w:r w:rsidRPr="00AD3C67"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eastAsia="ru-RU"/>
        </w:rPr>
        <w:t xml:space="preserve">                                               </w:t>
      </w:r>
      <w:r w:rsidR="003F7B0B">
        <w:rPr>
          <w:rFonts w:ascii="Times New Roman" w:eastAsia="Times New Roman" w:hAnsi="Times New Roman" w:cs="Times New Roman"/>
          <w:b/>
          <w:iCs/>
          <w:noProof/>
          <w:sz w:val="36"/>
          <w:szCs w:val="20"/>
          <w:lang w:eastAsia="ru-RU"/>
        </w:rPr>
        <w:t xml:space="preserve">                             </w:t>
      </w:r>
    </w:p>
    <w:p w:rsidR="00640E13" w:rsidRPr="00640E13" w:rsidRDefault="00640E13" w:rsidP="00640E13">
      <w:pPr>
        <w:keepNext/>
        <w:tabs>
          <w:tab w:val="left" w:pos="1080"/>
          <w:tab w:val="left" w:pos="6300"/>
        </w:tabs>
        <w:spacing w:after="0" w:line="360" w:lineRule="auto"/>
        <w:ind w:left="360" w:right="175" w:hanging="360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640E13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640E13" w:rsidRPr="003F7B0B" w:rsidRDefault="003F7B0B" w:rsidP="003F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7B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04.04.2018г.   № 9</w:t>
      </w:r>
    </w:p>
    <w:p w:rsidR="00640E13" w:rsidRPr="00640E13" w:rsidRDefault="00640E13" w:rsidP="00640E13">
      <w:pPr>
        <w:tabs>
          <w:tab w:val="left" w:pos="1080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40E13" w:rsidRDefault="00640E13" w:rsidP="00640E13">
      <w:pPr>
        <w:tabs>
          <w:tab w:val="left" w:pos="10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программу комплексного развития</w:t>
      </w:r>
    </w:p>
    <w:p w:rsidR="00640E13" w:rsidRDefault="00640E13" w:rsidP="00640E13">
      <w:pPr>
        <w:tabs>
          <w:tab w:val="left" w:pos="10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транспортной инфраструктуры сельского поселения </w:t>
      </w:r>
      <w:proofErr w:type="gramStart"/>
      <w:r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</w:t>
      </w:r>
      <w:proofErr w:type="gramEnd"/>
      <w:r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Бинарадка муниципального района Красноярский Самарской области </w:t>
      </w:r>
    </w:p>
    <w:p w:rsidR="00640E13" w:rsidRPr="00640E13" w:rsidRDefault="00F9116E" w:rsidP="00640E13">
      <w:pPr>
        <w:tabs>
          <w:tab w:val="left" w:pos="108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640E13"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</w:t>
      </w:r>
      <w:r w:rsidR="00CB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bookmarkStart w:id="0" w:name="_GoBack"/>
      <w:bookmarkEnd w:id="0"/>
      <w:r w:rsidR="00640E13" w:rsidRPr="0064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2033 года</w:t>
      </w:r>
    </w:p>
    <w:p w:rsidR="00640E13" w:rsidRPr="00640E13" w:rsidRDefault="00640E13" w:rsidP="00640E13">
      <w:pPr>
        <w:tabs>
          <w:tab w:val="left" w:pos="10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13" w:rsidRPr="00640E13" w:rsidRDefault="00640E13" w:rsidP="00640E13">
      <w:pPr>
        <w:tabs>
          <w:tab w:val="left" w:pos="10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13" w:rsidRDefault="00640E13" w:rsidP="00640E13">
      <w:pPr>
        <w:tabs>
          <w:tab w:val="left" w:pos="1080"/>
          <w:tab w:val="left" w:pos="6300"/>
        </w:tabs>
        <w:spacing w:after="0" w:line="360" w:lineRule="auto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F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6118" w:rsidRPr="007F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п.п. 5 п. 1 </w:t>
      </w:r>
      <w:r w:rsidR="007F6118" w:rsidRPr="007F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14 Федерального закона от 06.10.2003 № 131-ФЗ «Об общих принципах организации местного самоуправления в Российской Федерации»,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</w:t>
      </w:r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25.12.2015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>1440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3041" w:rsidRP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программам комплексного развития транспортной инфраструктуры поселений, городских округов</w:t>
      </w:r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Старая Бинарадка муниципального района </w:t>
      </w:r>
      <w:proofErr w:type="gramStart"/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Старая Бинарадка муниципального района Красноярский Самарской области</w:t>
      </w:r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041" w:rsidRPr="00F9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публичных слушаний</w:t>
      </w:r>
      <w:r w:rsidR="00B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352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495" w:rsidRPr="00640E13" w:rsidRDefault="00640E13" w:rsidP="00640E13">
      <w:pPr>
        <w:tabs>
          <w:tab w:val="left" w:pos="0"/>
          <w:tab w:val="left" w:pos="6300"/>
        </w:tabs>
        <w:spacing w:after="0" w:line="360" w:lineRule="auto"/>
        <w:ind w:right="175"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640E13">
        <w:rPr>
          <w:rFonts w:ascii="Times New Roman" w:eastAsia="A" w:hAnsi="Times New Roman" w:cs="Times New Roman"/>
          <w:sz w:val="28"/>
          <w:szCs w:val="28"/>
        </w:rPr>
        <w:t>1.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3A1495" w:rsidRPr="00640E13">
        <w:rPr>
          <w:rFonts w:ascii="Times New Roman" w:eastAsia="A" w:hAnsi="Times New Roman" w:cs="Times New Roman"/>
          <w:sz w:val="28"/>
          <w:szCs w:val="28"/>
        </w:rPr>
        <w:t xml:space="preserve">Внести в программу комплексного развития транспортной инфраструктуры сельского поселения </w:t>
      </w:r>
      <w:proofErr w:type="gramStart"/>
      <w:r w:rsidR="003A1495" w:rsidRPr="00640E13"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 w:rsidR="003A1495" w:rsidRPr="00640E13">
        <w:rPr>
          <w:rFonts w:ascii="Times New Roman" w:eastAsia="A" w:hAnsi="Times New Roman" w:cs="Times New Roman"/>
          <w:sz w:val="28"/>
          <w:szCs w:val="28"/>
        </w:rPr>
        <w:t xml:space="preserve"> Бинарадка муниципального района Красноярский Самарской области на 2017 год и на период до 2033</w:t>
      </w:r>
      <w:r w:rsidR="00CF7139" w:rsidRPr="00640E13"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="003A1495" w:rsidRPr="00640E13">
        <w:rPr>
          <w:rFonts w:ascii="Times New Roman" w:eastAsia="A" w:hAnsi="Times New Roman" w:cs="Times New Roman"/>
          <w:sz w:val="28"/>
          <w:szCs w:val="28"/>
        </w:rPr>
        <w:t>года, следующие изменения:</w:t>
      </w:r>
    </w:p>
    <w:p w:rsidR="003A1495" w:rsidRDefault="003A1495" w:rsidP="003A1495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раздел «Паспорт программы», раздел 7 «Финансовые потребности и источники финансирования мероприятий программы по проектированию, </w:t>
      </w:r>
      <w:r>
        <w:rPr>
          <w:rFonts w:ascii="Times New Roman" w:eastAsia="A" w:hAnsi="Times New Roman" w:cs="Times New Roman"/>
          <w:sz w:val="28"/>
          <w:szCs w:val="28"/>
        </w:rPr>
        <w:lastRenderedPageBreak/>
        <w:t>строительству и реконструкции объектов транспортной инфраструктуры предлагаемого к реализации варианты развития транспортной инфраструктуры»</w:t>
      </w:r>
      <w:r w:rsidR="00F9116E">
        <w:rPr>
          <w:rFonts w:ascii="Times New Roman" w:eastAsia="A" w:hAnsi="Times New Roman" w:cs="Times New Roman"/>
          <w:sz w:val="28"/>
          <w:szCs w:val="28"/>
        </w:rPr>
        <w:t>,</w:t>
      </w:r>
      <w:r>
        <w:rPr>
          <w:rFonts w:ascii="Times New Roman" w:eastAsia="A" w:hAnsi="Times New Roman" w:cs="Times New Roman"/>
          <w:sz w:val="28"/>
          <w:szCs w:val="28"/>
        </w:rPr>
        <w:t xml:space="preserve"> приложение № 2 «Мероприятия Программы» </w:t>
      </w:r>
      <w:r w:rsidRPr="002E55CB">
        <w:rPr>
          <w:rFonts w:ascii="Times New Roman" w:eastAsia="A" w:hAnsi="Times New Roman" w:cs="Times New Roman"/>
          <w:sz w:val="28"/>
          <w:szCs w:val="28"/>
        </w:rPr>
        <w:t>изложить в новой редакции согласно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2E55CB">
        <w:rPr>
          <w:rFonts w:ascii="Times New Roman" w:eastAsia="A" w:hAnsi="Times New Roman" w:cs="Times New Roman"/>
          <w:sz w:val="28"/>
          <w:szCs w:val="28"/>
        </w:rPr>
        <w:t>приложению</w:t>
      </w:r>
      <w:r w:rsidRPr="00B04D3F">
        <w:rPr>
          <w:rFonts w:ascii="Times New Roman" w:eastAsia="A" w:hAnsi="Times New Roman" w:cs="Times New Roman"/>
          <w:sz w:val="28"/>
          <w:szCs w:val="28"/>
        </w:rPr>
        <w:t xml:space="preserve"> к настоящему постановлению</w:t>
      </w:r>
      <w:r w:rsidR="00F9116E">
        <w:rPr>
          <w:rFonts w:ascii="Times New Roman" w:eastAsia="A" w:hAnsi="Times New Roman" w:cs="Times New Roman"/>
          <w:sz w:val="28"/>
          <w:szCs w:val="28"/>
        </w:rPr>
        <w:t>.</w:t>
      </w:r>
    </w:p>
    <w:p w:rsidR="00BC3041" w:rsidRPr="005E64AB" w:rsidRDefault="00BC3041" w:rsidP="00BC3041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2. Опубликовать настоящее постановление в газете «Красноярский вестник» и разместить на официальном сайте </w:t>
      </w:r>
      <w:r w:rsidRPr="00C92FFD">
        <w:rPr>
          <w:rFonts w:ascii="Times New Roman" w:eastAsia="A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FE6A10">
        <w:rPr>
          <w:rFonts w:ascii="Times New Roman" w:eastAsia="A" w:hAnsi="Times New Roman" w:cs="Times New Roman"/>
          <w:sz w:val="28"/>
          <w:szCs w:val="28"/>
        </w:rPr>
        <w:t xml:space="preserve"> в сети Интернет в разделе Поселения/</w:t>
      </w:r>
      <w:proofErr w:type="gramStart"/>
      <w:r w:rsidR="00FE6A10">
        <w:rPr>
          <w:rFonts w:ascii="Times New Roman" w:eastAsia="A" w:hAnsi="Times New Roman" w:cs="Times New Roman"/>
          <w:sz w:val="28"/>
          <w:szCs w:val="28"/>
        </w:rPr>
        <w:t>Старая</w:t>
      </w:r>
      <w:proofErr w:type="gramEnd"/>
      <w:r w:rsidR="00FE6A10">
        <w:rPr>
          <w:rFonts w:ascii="Times New Roman" w:eastAsia="A" w:hAnsi="Times New Roman" w:cs="Times New Roman"/>
          <w:sz w:val="28"/>
          <w:szCs w:val="28"/>
        </w:rPr>
        <w:t xml:space="preserve"> Бинарадка.</w:t>
      </w:r>
    </w:p>
    <w:p w:rsidR="00BC3041" w:rsidRDefault="00BC3041" w:rsidP="00BC3041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3.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:rsidR="003A1495" w:rsidRDefault="003A1495" w:rsidP="003A1495">
      <w:pPr>
        <w:pStyle w:val="ConsPlusNormal"/>
        <w:spacing w:line="360" w:lineRule="auto"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3A1495" w:rsidRDefault="003A1495" w:rsidP="003A1495">
      <w:pPr>
        <w:pStyle w:val="ConsPlusNormal"/>
        <w:tabs>
          <w:tab w:val="left" w:pos="795"/>
        </w:tabs>
        <w:spacing w:line="360" w:lineRule="auto"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3A1495" w:rsidRPr="00C92FFD" w:rsidRDefault="003A1495" w:rsidP="003A1495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  <w:r w:rsidRPr="00C92FFD">
        <w:rPr>
          <w:rFonts w:ascii="Times New Roman" w:eastAsia="A" w:hAnsi="Times New Roman" w:cs="Times New Roman"/>
          <w:b/>
          <w:sz w:val="27"/>
          <w:szCs w:val="27"/>
        </w:rPr>
        <w:t>Глава сельского поселения Старая Бинарадка</w:t>
      </w:r>
    </w:p>
    <w:p w:rsidR="003A1495" w:rsidRPr="00C92FFD" w:rsidRDefault="003A1495" w:rsidP="003A1495">
      <w:pPr>
        <w:pStyle w:val="ConsPlusNormal"/>
        <w:tabs>
          <w:tab w:val="left" w:pos="795"/>
        </w:tabs>
        <w:ind w:firstLine="0"/>
        <w:jc w:val="both"/>
        <w:rPr>
          <w:rFonts w:ascii="Times New Roman" w:eastAsia="A" w:hAnsi="Times New Roman" w:cs="Times New Roman"/>
          <w:b/>
          <w:sz w:val="27"/>
          <w:szCs w:val="27"/>
        </w:rPr>
      </w:pPr>
      <w:r w:rsidRPr="00C92FFD">
        <w:rPr>
          <w:rFonts w:ascii="Times New Roman" w:eastAsia="A" w:hAnsi="Times New Roman" w:cs="Times New Roman"/>
          <w:b/>
          <w:sz w:val="27"/>
          <w:szCs w:val="27"/>
        </w:rPr>
        <w:t xml:space="preserve">муниципального района </w:t>
      </w:r>
      <w:proofErr w:type="gramStart"/>
      <w:r w:rsidRPr="00C92FFD">
        <w:rPr>
          <w:rFonts w:ascii="Times New Roman" w:eastAsia="A" w:hAnsi="Times New Roman" w:cs="Times New Roman"/>
          <w:b/>
          <w:sz w:val="27"/>
          <w:szCs w:val="27"/>
        </w:rPr>
        <w:t>Красноярский</w:t>
      </w:r>
      <w:proofErr w:type="gramEnd"/>
    </w:p>
    <w:p w:rsidR="003A1495" w:rsidRDefault="003A1495" w:rsidP="003A1495">
      <w:pPr>
        <w:pStyle w:val="ConsPlusNormal"/>
        <w:tabs>
          <w:tab w:val="left" w:pos="79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2FFD">
        <w:rPr>
          <w:rFonts w:ascii="Times New Roman" w:eastAsia="A" w:hAnsi="Times New Roman" w:cs="Times New Roman"/>
          <w:b/>
          <w:sz w:val="27"/>
          <w:szCs w:val="27"/>
        </w:rPr>
        <w:t>Самарской области                                                                        О.Ю.Худяков</w:t>
      </w:r>
    </w:p>
    <w:p w:rsidR="003A1495" w:rsidRDefault="003A1495" w:rsidP="003A14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2B5" w:rsidRDefault="001012B5"/>
    <w:p w:rsidR="001012B5" w:rsidRPr="001012B5" w:rsidRDefault="001012B5" w:rsidP="001012B5"/>
    <w:p w:rsidR="001012B5" w:rsidRPr="001012B5" w:rsidRDefault="001012B5" w:rsidP="001012B5"/>
    <w:p w:rsidR="001012B5" w:rsidRPr="001012B5" w:rsidRDefault="001012B5" w:rsidP="001012B5"/>
    <w:p w:rsidR="001012B5" w:rsidRPr="001012B5" w:rsidRDefault="001012B5" w:rsidP="001012B5"/>
    <w:p w:rsidR="001012B5" w:rsidRPr="001012B5" w:rsidRDefault="001012B5" w:rsidP="001012B5"/>
    <w:p w:rsidR="001012B5" w:rsidRPr="001012B5" w:rsidRDefault="001012B5" w:rsidP="001012B5"/>
    <w:p w:rsidR="001012B5" w:rsidRPr="001012B5" w:rsidRDefault="001012B5" w:rsidP="001012B5"/>
    <w:p w:rsidR="001012B5" w:rsidRPr="001012B5" w:rsidRDefault="001012B5" w:rsidP="001012B5"/>
    <w:p w:rsidR="001012B5" w:rsidRPr="001012B5" w:rsidRDefault="001012B5" w:rsidP="001012B5"/>
    <w:p w:rsidR="001012B5" w:rsidRDefault="001012B5" w:rsidP="001012B5"/>
    <w:p w:rsidR="007A612E" w:rsidRPr="00EC5F37" w:rsidRDefault="007A612E" w:rsidP="001012B5">
      <w:pPr>
        <w:ind w:firstLine="708"/>
      </w:pPr>
    </w:p>
    <w:p w:rsidR="001012B5" w:rsidRPr="00EC5F37" w:rsidRDefault="001012B5" w:rsidP="001012B5">
      <w:pPr>
        <w:ind w:firstLine="708"/>
      </w:pPr>
    </w:p>
    <w:p w:rsidR="001012B5" w:rsidRDefault="001012B5" w:rsidP="001012B5">
      <w:pPr>
        <w:ind w:firstLine="708"/>
      </w:pPr>
    </w:p>
    <w:p w:rsidR="003F7B0B" w:rsidRPr="00EC5F37" w:rsidRDefault="003F7B0B" w:rsidP="001012B5">
      <w:pPr>
        <w:ind w:firstLine="708"/>
      </w:pPr>
    </w:p>
    <w:p w:rsidR="001012B5" w:rsidRDefault="001012B5" w:rsidP="001012B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</w:t>
      </w:r>
    </w:p>
    <w:p w:rsidR="001012B5" w:rsidRDefault="001012B5" w:rsidP="001012B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                          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</w:t>
      </w:r>
    </w:p>
    <w:p w:rsidR="001012B5" w:rsidRDefault="001012B5" w:rsidP="001012B5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</w:t>
      </w:r>
    </w:p>
    <w:p w:rsidR="001012B5" w:rsidRDefault="001012B5" w:rsidP="001012B5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1012B5" w:rsidRDefault="001012B5" w:rsidP="0010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</w:t>
      </w:r>
      <w:r w:rsidR="003F7B0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3F7B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04.04.2018г.</w:t>
      </w:r>
      <w:r w:rsidRPr="00EC5F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3F7B0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:rsidR="001012B5" w:rsidRDefault="001012B5" w:rsidP="0010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>Изменения в программу развития</w:t>
      </w: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транспортной инфраструктуры сельского поселения </w:t>
      </w:r>
      <w:proofErr w:type="gramStart"/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>Старая</w:t>
      </w:r>
      <w:proofErr w:type="gramEnd"/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 xml:space="preserve"> Бинарадка муниципального района Красноярский Самарской области </w:t>
      </w: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>на период с 2017 до 2033 года</w:t>
      </w: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" w:hAnsi="Times New Roman" w:cs="Times New Roman"/>
          <w:b/>
          <w:sz w:val="28"/>
          <w:szCs w:val="28"/>
          <w:lang w:eastAsia="ar-SA"/>
        </w:rPr>
        <w:t>1 ПАСПОРТ ПРОГРАММЫ</w:t>
      </w:r>
    </w:p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sz w:val="28"/>
          <w:szCs w:val="28"/>
          <w:lang w:eastAsia="ar-SA"/>
        </w:rPr>
      </w:pPr>
    </w:p>
    <w:tbl>
      <w:tblPr>
        <w:tblStyle w:val="aa"/>
        <w:tblW w:w="0" w:type="auto"/>
        <w:tblLook w:val="04A0"/>
      </w:tblPr>
      <w:tblGrid>
        <w:gridCol w:w="3085"/>
        <w:gridCol w:w="6095"/>
      </w:tblGrid>
      <w:tr w:rsidR="001012B5" w:rsidTr="00101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Наименование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Программа комплексного развития транспортной инфраструктуры сельского поселения Старая Бинарадка муниципального района Красноярский Самарской области на 2017 год и на период до 2033 года</w:t>
            </w:r>
          </w:p>
        </w:tc>
      </w:tr>
      <w:tr w:rsidR="001012B5" w:rsidTr="00101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Основание для разработки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Градостроительный Кодекс Российской Федерации;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Генеральный план с.п. Старая Бинарадка;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1012B5" w:rsidTr="00101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Заказчик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Администрация сельского поселения Старая Бинарадка муниципального района </w:t>
            </w:r>
            <w:proofErr w:type="gramStart"/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 Самарской области</w:t>
            </w:r>
          </w:p>
        </w:tc>
      </w:tr>
      <w:tr w:rsidR="001012B5" w:rsidTr="00101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Местонахождение Заказчика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446382, Самарская область, Красноярский район, </w:t>
            </w:r>
            <w:proofErr w:type="gramStart"/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. Старая Бинарадка, ул. Советская, д. 45</w:t>
            </w:r>
          </w:p>
        </w:tc>
      </w:tr>
      <w:tr w:rsidR="001012B5" w:rsidTr="00101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Разработчик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Общество с ограниченной ответственностью «Самарская </w:t>
            </w:r>
            <w:proofErr w:type="spellStart"/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энергосервисная</w:t>
            </w:r>
            <w:proofErr w:type="spellEnd"/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 компания» (ООО «</w:t>
            </w:r>
            <w:proofErr w:type="spellStart"/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СамараЭСКО</w:t>
            </w:r>
            <w:proofErr w:type="spellEnd"/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»)</w:t>
            </w:r>
          </w:p>
        </w:tc>
      </w:tr>
      <w:tr w:rsidR="001012B5" w:rsidTr="00101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Местонахождение Разработчика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443013, г. Самара, ул. Дачная, д. 24</w:t>
            </w:r>
          </w:p>
        </w:tc>
      </w:tr>
      <w:tr w:rsidR="001012B5" w:rsidTr="00101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lastRenderedPageBreak/>
              <w:t>Цели и задачи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lastRenderedPageBreak/>
              <w:t xml:space="preserve">Создание условий для устойчивого функционирования транспортной системы сельского поселения </w:t>
            </w:r>
            <w:proofErr w:type="gramStart"/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Старая</w:t>
            </w:r>
            <w:proofErr w:type="gramEnd"/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 Бинарадка, повышение уровня безопасности движения.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Создание правовых, организационных и институциональных условий для перехода к устойчивому развитию поселения, эффективной реализации полномочий органов местного самоуправления;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Безопасность, качество и эффективность транспортного обслуживания населения на территории с.п. Старая Бинарадка;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Доступность объектов транспортной </w:t>
            </w: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lastRenderedPageBreak/>
              <w:t>инфраструктуры для населения с.п. Старая Бинарадка;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Развитие транспортной инфраструктуры сельского поселения в соответствии с потребностями населения в передвижении (транспортный спрос);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Эффективность функционирования действующей транспортной инфраструктуры</w:t>
            </w:r>
          </w:p>
        </w:tc>
      </w:tr>
      <w:tr w:rsidR="001012B5" w:rsidTr="00101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lastRenderedPageBreak/>
              <w:t>Целевые показатели Программы 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Приложение 1 к Программе</w:t>
            </w:r>
          </w:p>
        </w:tc>
      </w:tr>
      <w:tr w:rsidR="001012B5" w:rsidTr="00101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Мероприятия Программы*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Приложение 2 к Программе</w:t>
            </w:r>
          </w:p>
        </w:tc>
      </w:tr>
      <w:tr w:rsidR="001012B5" w:rsidTr="00101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Срок и этапы реализации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Программа реализуется в период с 2017 по 2033 годы</w:t>
            </w:r>
          </w:p>
        </w:tc>
      </w:tr>
      <w:tr w:rsidR="001012B5" w:rsidTr="00101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Объемы и источники финансирования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на расчетный срок 391 928, 7 тыс. руб.,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Источник финансирования: бюджет сельского поселения </w:t>
            </w:r>
            <w:proofErr w:type="gramStart"/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Старая</w:t>
            </w:r>
            <w:proofErr w:type="gramEnd"/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 xml:space="preserve"> Бинарадка</w:t>
            </w:r>
          </w:p>
        </w:tc>
      </w:tr>
      <w:tr w:rsidR="001012B5" w:rsidTr="001012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Ожидаемые результаты реализации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Транспортная система, обеспечивающая стабильное развитие сельского поселения Старая Бинарадка;</w:t>
            </w:r>
          </w:p>
          <w:p w:rsidR="001012B5" w:rsidRDefault="001012B5">
            <w:pPr>
              <w:widowControl w:val="0"/>
              <w:suppressAutoHyphens/>
              <w:autoSpaceDE w:val="0"/>
              <w:jc w:val="both"/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  <w:lang w:eastAsia="ar-SA"/>
              </w:rPr>
              <w:t>Своевременная система обеспечения безопасности дорожного движения на автомобильных дорогах общего пользования и улично-дорожной сети населенных пунктов сельского поселения Старая Бинарадка</w:t>
            </w:r>
          </w:p>
        </w:tc>
      </w:tr>
    </w:tbl>
    <w:p w:rsidR="001012B5" w:rsidRDefault="001012B5" w:rsidP="001012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" w:hAnsi="Times New Roman" w:cs="Times New Roman"/>
          <w:sz w:val="28"/>
          <w:szCs w:val="28"/>
          <w:lang w:eastAsia="ar-SA"/>
        </w:rPr>
      </w:pPr>
    </w:p>
    <w:p w:rsidR="001012B5" w:rsidRDefault="001012B5" w:rsidP="001012B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– без разбивки по годам.</w:t>
      </w: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ФИНАНСОВЫЕ ПОТРЕБНОСТИ И ИСТОЧНИКИ ФИНАНСИРОВАНИЯ МЕРОПРИЯТИЙ ПРОГРАММЫ ПО ПРОЕТИРОВАНИЮ, СТРОИТЕЛЬСТВУ И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1012B5" w:rsidRDefault="001012B5" w:rsidP="001012B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2B5" w:rsidRDefault="001012B5" w:rsidP="001012B5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 муниципального района Красноярский Самарской области. Ежегодные объемы финансирования программы определяются в соответствии с утвержденным бюджетом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 муниципального района Красноярский Самарской области на соответствующий финансовый год и  с  учетом  дополнительных источников финансирования. Общий объем финансовых средств, необходимых для реализации мероприятия Программы на расчетный срок составляет 391 928,7 тыс. рублей.</w:t>
      </w:r>
    </w:p>
    <w:p w:rsidR="001012B5" w:rsidRDefault="001012B5" w:rsidP="001012B5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финансовых потребностей и источники финансирования мероприятий программы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перечислены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2.</w:t>
      </w:r>
    </w:p>
    <w:p w:rsidR="001012B5" w:rsidRDefault="001012B5" w:rsidP="001012B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2B5" w:rsidRDefault="001012B5" w:rsidP="001012B5"/>
    <w:p w:rsidR="001012B5" w:rsidRDefault="001012B5" w:rsidP="001012B5"/>
    <w:p w:rsidR="001012B5" w:rsidRDefault="001012B5" w:rsidP="001012B5"/>
    <w:p w:rsidR="001012B5" w:rsidRDefault="001012B5" w:rsidP="001012B5"/>
    <w:p w:rsidR="001012B5" w:rsidRDefault="001012B5" w:rsidP="001012B5"/>
    <w:p w:rsidR="001012B5" w:rsidRDefault="001012B5" w:rsidP="001012B5"/>
    <w:p w:rsidR="001012B5" w:rsidRDefault="001012B5" w:rsidP="001012B5"/>
    <w:p w:rsidR="001012B5" w:rsidRDefault="001012B5" w:rsidP="001012B5"/>
    <w:p w:rsidR="001012B5" w:rsidRDefault="001012B5" w:rsidP="001012B5"/>
    <w:p w:rsidR="001012B5" w:rsidRDefault="001012B5" w:rsidP="001012B5"/>
    <w:p w:rsidR="001012B5" w:rsidRDefault="001012B5" w:rsidP="001012B5"/>
    <w:p w:rsidR="001012B5" w:rsidRDefault="001012B5" w:rsidP="001012B5"/>
    <w:p w:rsidR="001012B5" w:rsidRDefault="001012B5" w:rsidP="001012B5"/>
    <w:p w:rsidR="001012B5" w:rsidRDefault="001012B5" w:rsidP="0010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Программе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</w:p>
    <w:p w:rsidR="001012B5" w:rsidRDefault="001012B5" w:rsidP="0010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транспортной инфраструктуры </w:t>
      </w:r>
    </w:p>
    <w:p w:rsidR="001012B5" w:rsidRDefault="001012B5" w:rsidP="0010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Старая Бинарадка м.р. Красноярский</w:t>
      </w:r>
    </w:p>
    <w:p w:rsidR="001012B5" w:rsidRDefault="001012B5" w:rsidP="0010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 на 2017 год и</w:t>
      </w:r>
    </w:p>
    <w:p w:rsidR="001012B5" w:rsidRDefault="001012B5" w:rsidP="0010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период до 2033 года </w:t>
      </w:r>
    </w:p>
    <w:p w:rsidR="001012B5" w:rsidRDefault="001012B5" w:rsidP="0010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2B5" w:rsidRDefault="001012B5" w:rsidP="0010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2B5" w:rsidRDefault="001012B5" w:rsidP="0010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:rsidR="001012B5" w:rsidRDefault="001012B5" w:rsidP="00101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2B5" w:rsidRDefault="001012B5" w:rsidP="001012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Мероприятия Программы (оценка финансовых потребностей и источники финансирования)</w:t>
      </w:r>
    </w:p>
    <w:p w:rsidR="001012B5" w:rsidRDefault="001012B5" w:rsidP="00101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1134"/>
        <w:gridCol w:w="1134"/>
        <w:gridCol w:w="850"/>
        <w:gridCol w:w="850"/>
        <w:gridCol w:w="991"/>
        <w:gridCol w:w="993"/>
        <w:gridCol w:w="993"/>
        <w:gridCol w:w="1275"/>
      </w:tblGrid>
      <w:tr w:rsidR="001012B5" w:rsidTr="001012B5">
        <w:trPr>
          <w:trHeight w:val="4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выполнения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потребности на реализацию мероприятий, тыс. руб.</w:t>
            </w:r>
          </w:p>
        </w:tc>
      </w:tr>
      <w:tr w:rsidR="001012B5" w:rsidTr="001012B5">
        <w:trPr>
          <w:trHeight w:val="8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B5" w:rsidRDefault="00101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B5" w:rsidRDefault="00101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B5" w:rsidRDefault="001012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2022-2033</w:t>
            </w:r>
          </w:p>
        </w:tc>
      </w:tr>
      <w:tr w:rsidR="001012B5" w:rsidTr="001012B5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Инвентаризация с оценкой технического состояния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7212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</w:tr>
      <w:tr w:rsidR="001012B5" w:rsidTr="001012B5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1012B5" w:rsidTr="001012B5">
        <w:trPr>
          <w:trHeight w:val="8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дороги местного значения, продолжение улицы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0,805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5272,20</w:t>
            </w:r>
          </w:p>
        </w:tc>
      </w:tr>
      <w:tr w:rsidR="001012B5" w:rsidTr="001012B5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дороги местного значения, на площадке № 3, продолжение улицы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1,00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6549,32</w:t>
            </w:r>
          </w:p>
        </w:tc>
      </w:tr>
      <w:tr w:rsidR="001012B5" w:rsidTr="001012B5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дороги местного значения, на площадке № 2, продолжение улицы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0,301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1971,35</w:t>
            </w:r>
          </w:p>
        </w:tc>
      </w:tr>
      <w:tr w:rsidR="001012B5" w:rsidTr="001012B5">
        <w:trPr>
          <w:trHeight w:val="6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дороги местного значения, продолжение улицы Фрунзе – 0,874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5724,11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5724,11</w:t>
            </w:r>
          </w:p>
        </w:tc>
      </w:tr>
      <w:tr w:rsidR="001012B5" w:rsidTr="001012B5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 1, ул. №1-0,4км.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2619,73</w:t>
            </w:r>
          </w:p>
        </w:tc>
      </w:tr>
      <w:tr w:rsidR="001012B5" w:rsidTr="001012B5">
        <w:trPr>
          <w:trHeight w:val="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 1, ул. № 2 – 0,422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2763,81</w:t>
            </w:r>
          </w:p>
        </w:tc>
      </w:tr>
      <w:tr w:rsidR="001012B5" w:rsidTr="001012B5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№2, ул. №3-0,490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3290,17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3290,17</w:t>
            </w:r>
          </w:p>
        </w:tc>
      </w:tr>
      <w:tr w:rsidR="001012B5" w:rsidTr="001012B5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№2, ул. №4- 0,595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3896,85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3896,85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ул. №5-0,454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2973,39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№3, ул. №6-1,504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9850,18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№1, ул. №7-0,150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982,40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№1, ул. №8-0,1км.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654,93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№1, ул. №9-0,292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1912,40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дороги местного значения,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№10-0,481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3150,22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3150,22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дороги местного значения, на площадке №2, ул. №11-0,363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2377,40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№2, ул. №12-0,343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2246,42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№2, ул. №13-0,325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2128,53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№2, ул. №14- 0,240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1571,84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№3, ул. №15-0,189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1237,82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№3, ул. № 16-0,153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1002,05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№3, ул. №17-0,123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805,57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дороги местного значения, на площадке №3, ул. №18-0,328 км.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2148,18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№3, ул. №19-0,268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1755,22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№3, ул. №20-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0,628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4112,97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дороги местного значения, на площадке №4, ул. №21-0,474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3104,38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на площадке №4, ул. №22-0,282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1846,91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ул. №23-1,974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12928,36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12928,36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ул.№24-0,471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3084,73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3084,73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ул.№25-0,661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4329,10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ул.№26-0,448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2934,10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значения, ул.№27-0,285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1866,56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дороги местного значения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тарая Бинарадка – с. Новый Буян, протяженностью (в границах поселения) – 3,7км.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24232,48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дороги местного значения п. Волжский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Старая Бинарадка протяженностью 14,0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91690,48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91690,48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(капитальный ремонт) автомобильных дорог местного значения,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Фрунзе 4,0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26197,28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26197,28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(капитальный ремонт) автомобильных дорог местного значения,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адовая-3,0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19647,96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(капитальный ремонт) автомобильных дорог местного значения,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 -1 – 1,5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9823,98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(капитальный ремонт) автомобильных дорог местного значения,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есная-2 – 1,5км.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9823,98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(капитальный ремонт) автомобильных дорог местного значения,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13098,64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(капитальный ремонт) автомобильных дорог местного значения,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 – 0,5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3274,66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(капитальный ремонт) автомобильных дорог местного значения,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ольничная – 1,0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6549,32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(капитальный ремонт) автомобильных дорог местного значения,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овхозная – 1,0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(капитальный ремонт) автомобильных дорог местного 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– 2,0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13098,64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(капитальный ремонт) автомобильных дорог местного значения,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аводская -2,0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13098,64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(капитальный ремонт) автомобильных дорог местного значения,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 – 1,650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10806,38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(капитальный ремонт) автомобильных дорог местного значения,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– 3,0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19647,96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(капитальный ремонт) автомобильных дорог местного значения,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аречная – 0,5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107" w:firstLine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3274,66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автодороги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Курумоч-Новый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Буян - Старая Бинарадка» протяженностью 1,3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8514,12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lef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8514,12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107"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4620,00</w:t>
            </w:r>
          </w:p>
        </w:tc>
      </w:tr>
      <w:tr w:rsidR="001012B5" w:rsidTr="001012B5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B5" w:rsidRDefault="001012B5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391 928,70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108"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ind w:left="-107"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29 891,94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B5" w:rsidRDefault="001012B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353 807,44</w:t>
            </w:r>
          </w:p>
        </w:tc>
      </w:tr>
    </w:tbl>
    <w:p w:rsidR="001012B5" w:rsidRDefault="001012B5" w:rsidP="00101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2B5" w:rsidRPr="001012B5" w:rsidRDefault="001012B5" w:rsidP="001012B5">
      <w:pPr>
        <w:ind w:firstLine="708"/>
        <w:rPr>
          <w:lang w:val="en-US"/>
        </w:rPr>
      </w:pPr>
    </w:p>
    <w:sectPr w:rsidR="001012B5" w:rsidRPr="001012B5" w:rsidSect="00BC3041">
      <w:head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5C" w:rsidRDefault="009B3D5C" w:rsidP="00BC3041">
      <w:pPr>
        <w:spacing w:after="0" w:line="240" w:lineRule="auto"/>
      </w:pPr>
      <w:r>
        <w:separator/>
      </w:r>
    </w:p>
  </w:endnote>
  <w:endnote w:type="continuationSeparator" w:id="0">
    <w:p w:rsidR="009B3D5C" w:rsidRDefault="009B3D5C" w:rsidP="00BC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5C" w:rsidRDefault="009B3D5C" w:rsidP="00BC3041">
      <w:pPr>
        <w:spacing w:after="0" w:line="240" w:lineRule="auto"/>
      </w:pPr>
      <w:r>
        <w:separator/>
      </w:r>
    </w:p>
  </w:footnote>
  <w:footnote w:type="continuationSeparator" w:id="0">
    <w:p w:rsidR="009B3D5C" w:rsidRDefault="009B3D5C" w:rsidP="00BC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95401"/>
      <w:docPartObj>
        <w:docPartGallery w:val="Page Numbers (Top of Page)"/>
        <w:docPartUnique/>
      </w:docPartObj>
    </w:sdtPr>
    <w:sdtContent>
      <w:p w:rsidR="00BC3041" w:rsidRDefault="00B739F9">
        <w:pPr>
          <w:pStyle w:val="a4"/>
          <w:jc w:val="center"/>
        </w:pPr>
        <w:r>
          <w:fldChar w:fldCharType="begin"/>
        </w:r>
        <w:r w:rsidR="00BC3041">
          <w:instrText>PAGE   \* MERGEFORMAT</w:instrText>
        </w:r>
        <w:r>
          <w:fldChar w:fldCharType="separate"/>
        </w:r>
        <w:r w:rsidR="00FE6A10">
          <w:rPr>
            <w:noProof/>
          </w:rPr>
          <w:t>3</w:t>
        </w:r>
        <w:r>
          <w:fldChar w:fldCharType="end"/>
        </w:r>
      </w:p>
    </w:sdtContent>
  </w:sdt>
  <w:p w:rsidR="00BC3041" w:rsidRDefault="00BC30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4F4"/>
    <w:multiLevelType w:val="hybridMultilevel"/>
    <w:tmpl w:val="6B90FA84"/>
    <w:lvl w:ilvl="0" w:tplc="82E40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A4252C"/>
    <w:multiLevelType w:val="hybridMultilevel"/>
    <w:tmpl w:val="260CF4AC"/>
    <w:lvl w:ilvl="0" w:tplc="F72AC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5FD"/>
    <w:rsid w:val="000D6F78"/>
    <w:rsid w:val="001012B5"/>
    <w:rsid w:val="00230BD3"/>
    <w:rsid w:val="00241A38"/>
    <w:rsid w:val="0028611A"/>
    <w:rsid w:val="003A1495"/>
    <w:rsid w:val="003F7B0B"/>
    <w:rsid w:val="0040094C"/>
    <w:rsid w:val="004F0338"/>
    <w:rsid w:val="005A15C1"/>
    <w:rsid w:val="00611B23"/>
    <w:rsid w:val="00640E13"/>
    <w:rsid w:val="006F4DF4"/>
    <w:rsid w:val="007212B3"/>
    <w:rsid w:val="00746797"/>
    <w:rsid w:val="007A612E"/>
    <w:rsid w:val="007F6118"/>
    <w:rsid w:val="008373B7"/>
    <w:rsid w:val="00842636"/>
    <w:rsid w:val="008C43D7"/>
    <w:rsid w:val="00905D75"/>
    <w:rsid w:val="00924DEB"/>
    <w:rsid w:val="009B3D5C"/>
    <w:rsid w:val="00A24867"/>
    <w:rsid w:val="00AD3C67"/>
    <w:rsid w:val="00B525FD"/>
    <w:rsid w:val="00B739F9"/>
    <w:rsid w:val="00BC1D5E"/>
    <w:rsid w:val="00BC3041"/>
    <w:rsid w:val="00CB5567"/>
    <w:rsid w:val="00CF7139"/>
    <w:rsid w:val="00E22EF3"/>
    <w:rsid w:val="00EC5F37"/>
    <w:rsid w:val="00F4163C"/>
    <w:rsid w:val="00F9116E"/>
    <w:rsid w:val="00FE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40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41"/>
  </w:style>
  <w:style w:type="paragraph" w:styleId="a6">
    <w:name w:val="footer"/>
    <w:basedOn w:val="a"/>
    <w:link w:val="a7"/>
    <w:uiPriority w:val="99"/>
    <w:unhideWhenUsed/>
    <w:rsid w:val="00BC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041"/>
  </w:style>
  <w:style w:type="paragraph" w:styleId="a8">
    <w:name w:val="Title"/>
    <w:basedOn w:val="a"/>
    <w:next w:val="a"/>
    <w:link w:val="a9"/>
    <w:qFormat/>
    <w:rsid w:val="00905D75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9">
    <w:name w:val="Название Знак"/>
    <w:basedOn w:val="a0"/>
    <w:link w:val="a8"/>
    <w:rsid w:val="00905D75"/>
    <w:rPr>
      <w:rFonts w:ascii="Arial" w:eastAsia="Times New Roman" w:hAnsi="Arial" w:cs="Times New Roman"/>
      <w:b/>
      <w:bCs/>
      <w:sz w:val="32"/>
      <w:szCs w:val="20"/>
      <w:lang w:eastAsia="ar-SA"/>
    </w:rPr>
  </w:style>
  <w:style w:type="table" w:styleId="aa">
    <w:name w:val="Table Grid"/>
    <w:basedOn w:val="a1"/>
    <w:uiPriority w:val="59"/>
    <w:rsid w:val="0010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4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40E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41"/>
  </w:style>
  <w:style w:type="paragraph" w:styleId="a6">
    <w:name w:val="footer"/>
    <w:basedOn w:val="a"/>
    <w:link w:val="a7"/>
    <w:uiPriority w:val="99"/>
    <w:unhideWhenUsed/>
    <w:rsid w:val="00BC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12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</dc:creator>
  <cp:keywords/>
  <dc:description/>
  <cp:lastModifiedBy>Администрация</cp:lastModifiedBy>
  <cp:revision>18</cp:revision>
  <cp:lastPrinted>2018-04-04T08:43:00Z</cp:lastPrinted>
  <dcterms:created xsi:type="dcterms:W3CDTF">2017-10-26T06:18:00Z</dcterms:created>
  <dcterms:modified xsi:type="dcterms:W3CDTF">2018-04-04T08:44:00Z</dcterms:modified>
</cp:coreProperties>
</file>