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81D49" w:rsidRPr="005413FF" w:rsidRDefault="004F2358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951D3">
        <w:rPr>
          <w:rFonts w:ascii="Times New Roman" w:hAnsi="Times New Roman" w:cs="Times New Roman"/>
          <w:b/>
          <w:sz w:val="28"/>
          <w:szCs w:val="28"/>
        </w:rPr>
        <w:t>КОММУНАРСКОЕ</w:t>
      </w:r>
      <w:r w:rsidR="005951D3">
        <w:rPr>
          <w:rFonts w:ascii="Times New Roman" w:hAnsi="Times New Roman" w:cs="Times New Roman"/>
          <w:b/>
          <w:sz w:val="28"/>
          <w:szCs w:val="28"/>
        </w:rPr>
        <w:tab/>
      </w:r>
    </w:p>
    <w:p w:rsidR="00881D49" w:rsidRPr="005413FF" w:rsidRDefault="00881D49" w:rsidP="00881D49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>МУНИЦИПАЛЬНОГО РАЙОНА КРАСНОЯРСКИЙ</w:t>
      </w:r>
    </w:p>
    <w:p w:rsidR="00881D49" w:rsidRPr="005413FF" w:rsidRDefault="00881D49" w:rsidP="00881D49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881D49" w:rsidRPr="005413F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25E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49" w:rsidRPr="005413FF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1252">
        <w:rPr>
          <w:rFonts w:ascii="Times New Roman" w:hAnsi="Times New Roman" w:cs="Times New Roman"/>
          <w:b/>
          <w:sz w:val="28"/>
          <w:szCs w:val="28"/>
        </w:rPr>
        <w:t xml:space="preserve">05 </w:t>
      </w:r>
      <w:proofErr w:type="gramStart"/>
      <w:r w:rsidR="0014125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C25E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Pr="00C25E1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41252">
        <w:rPr>
          <w:rFonts w:ascii="Times New Roman" w:hAnsi="Times New Roman" w:cs="Times New Roman"/>
          <w:b/>
          <w:sz w:val="28"/>
          <w:szCs w:val="28"/>
        </w:rPr>
        <w:t>18</w:t>
      </w:r>
    </w:p>
    <w:p w:rsidR="00881D49" w:rsidRPr="00290D0D" w:rsidRDefault="00881D49" w:rsidP="00881D49">
      <w:pPr>
        <w:pStyle w:val="ConsPlusTitle"/>
        <w:contextualSpacing/>
        <w:rPr>
          <w:rFonts w:ascii="Times New Roman" w:hAnsi="Times New Roman" w:cs="Times New Roman"/>
          <w:sz w:val="24"/>
          <w:szCs w:val="24"/>
        </w:rPr>
      </w:pPr>
    </w:p>
    <w:p w:rsidR="00C25E1C" w:rsidRDefault="00881D49" w:rsidP="0088058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1D3">
        <w:rPr>
          <w:rFonts w:ascii="Times New Roman" w:hAnsi="Times New Roman" w:cs="Times New Roman"/>
          <w:sz w:val="28"/>
          <w:szCs w:val="28"/>
        </w:rPr>
        <w:t>Коммунарское</w:t>
      </w:r>
      <w:r w:rsidRPr="00A479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25E1C" w:rsidRPr="00A4790D">
        <w:rPr>
          <w:rFonts w:ascii="Times New Roman" w:hAnsi="Times New Roman" w:cs="Times New Roman"/>
          <w:sz w:val="28"/>
          <w:szCs w:val="28"/>
        </w:rPr>
        <w:t>района Красноярский</w:t>
      </w:r>
      <w:r w:rsidRPr="00A4790D">
        <w:rPr>
          <w:rFonts w:ascii="Times New Roman" w:hAnsi="Times New Roman" w:cs="Times New Roman"/>
          <w:sz w:val="28"/>
          <w:szCs w:val="28"/>
        </w:rPr>
        <w:t xml:space="preserve"> Самарской</w:t>
      </w:r>
    </w:p>
    <w:p w:rsidR="00881D49" w:rsidRPr="00A4790D" w:rsidRDefault="00881D49" w:rsidP="0088058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90D">
        <w:rPr>
          <w:rFonts w:ascii="Times New Roman" w:hAnsi="Times New Roman" w:cs="Times New Roman"/>
          <w:sz w:val="28"/>
          <w:szCs w:val="28"/>
        </w:rPr>
        <w:t xml:space="preserve"> области,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</w:t>
      </w:r>
    </w:p>
    <w:p w:rsidR="00881D49" w:rsidRPr="00290D0D" w:rsidRDefault="00881D49" w:rsidP="00C25E1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E1C" w:rsidRDefault="00881D49" w:rsidP="00C25E1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>Во исполнение статьи 14 Федерального закона от 25.02.1999 № 39-ФЗ                                «Об инвестиционной деятельности в Российской Федерации, осуществляемой в форме капитальных вложений», руководствуясь постановлением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вложения», Уста</w:t>
      </w:r>
      <w:r w:rsidR="004F2358" w:rsidRPr="00C25E1C">
        <w:rPr>
          <w:rFonts w:ascii="Times New Roman" w:hAnsi="Times New Roman" w:cs="Times New Roman"/>
          <w:sz w:val="28"/>
          <w:szCs w:val="28"/>
        </w:rPr>
        <w:t xml:space="preserve">вом  сельского поселения </w:t>
      </w:r>
      <w:r w:rsidR="005951D3" w:rsidRPr="00C25E1C">
        <w:rPr>
          <w:rFonts w:ascii="Times New Roman" w:hAnsi="Times New Roman" w:cs="Times New Roman"/>
          <w:sz w:val="28"/>
          <w:szCs w:val="28"/>
        </w:rPr>
        <w:t>Коммунарский</w:t>
      </w:r>
      <w:r w:rsidRPr="00C25E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</w:t>
      </w:r>
      <w:r w:rsidR="004F2358" w:rsidRPr="00C25E1C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r w:rsidR="005951D3" w:rsidRPr="00C25E1C">
        <w:rPr>
          <w:rFonts w:ascii="Times New Roman" w:hAnsi="Times New Roman" w:cs="Times New Roman"/>
          <w:sz w:val="28"/>
          <w:szCs w:val="28"/>
        </w:rPr>
        <w:t>Коммунарский</w:t>
      </w:r>
      <w:r w:rsidRPr="00C25E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5E1C">
        <w:rPr>
          <w:rFonts w:ascii="Times New Roman" w:hAnsi="Times New Roman" w:cs="Times New Roman"/>
          <w:sz w:val="28"/>
          <w:szCs w:val="28"/>
        </w:rPr>
        <w:t xml:space="preserve"> </w:t>
      </w:r>
      <w:r w:rsidRPr="00C25E1C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881D49" w:rsidRPr="00C25E1C" w:rsidRDefault="00881D49" w:rsidP="00C25E1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81D49" w:rsidRPr="00C25E1C" w:rsidRDefault="00881D49" w:rsidP="00C25E1C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881D49" w:rsidRPr="00C25E1C" w:rsidRDefault="00881D49" w:rsidP="00C25E1C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 xml:space="preserve"> 1.1. Правила проведения проверки инвестиционных проектов на предмет эффективности использования средств бюд</w:t>
      </w:r>
      <w:r w:rsidR="004F2358" w:rsidRPr="00C25E1C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5951D3" w:rsidRPr="00C25E1C">
        <w:rPr>
          <w:rFonts w:ascii="Times New Roman" w:hAnsi="Times New Roman" w:cs="Times New Roman"/>
          <w:sz w:val="28"/>
          <w:szCs w:val="28"/>
        </w:rPr>
        <w:t>Коммунарский</w:t>
      </w:r>
      <w:r w:rsidRPr="00C25E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направляемых на капитальные вложения.</w:t>
      </w:r>
    </w:p>
    <w:p w:rsidR="00881D49" w:rsidRPr="00C25E1C" w:rsidRDefault="00881D49" w:rsidP="00C25E1C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>1.2. Методику оценки эффективности использования средств бюд</w:t>
      </w:r>
      <w:r w:rsidR="004F2358" w:rsidRPr="00C25E1C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5951D3" w:rsidRPr="00C25E1C">
        <w:rPr>
          <w:rFonts w:ascii="Times New Roman" w:hAnsi="Times New Roman" w:cs="Times New Roman"/>
          <w:sz w:val="28"/>
          <w:szCs w:val="28"/>
        </w:rPr>
        <w:t>Коммунарский</w:t>
      </w:r>
      <w:r w:rsidRPr="00C25E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направляемых на капитальные вложения.</w:t>
      </w:r>
    </w:p>
    <w:p w:rsidR="00881D49" w:rsidRPr="00C25E1C" w:rsidRDefault="00881D49" w:rsidP="00C25E1C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1C">
        <w:rPr>
          <w:rFonts w:ascii="Times New Roman" w:hAnsi="Times New Roman" w:cs="Times New Roman"/>
          <w:sz w:val="28"/>
          <w:szCs w:val="28"/>
        </w:rPr>
        <w:t>1.3. Порядок ведения реестра инвестиционных проектов, получивших положительное заключение об эффективности использования средств бюд</w:t>
      </w:r>
      <w:r w:rsidR="004F2358" w:rsidRPr="00C25E1C">
        <w:rPr>
          <w:rFonts w:ascii="Times New Roman" w:hAnsi="Times New Roman" w:cs="Times New Roman"/>
          <w:sz w:val="28"/>
          <w:szCs w:val="28"/>
        </w:rPr>
        <w:t xml:space="preserve">жета сельского поселения </w:t>
      </w:r>
      <w:r w:rsidR="005951D3" w:rsidRPr="00C25E1C">
        <w:rPr>
          <w:rFonts w:ascii="Times New Roman" w:hAnsi="Times New Roman" w:cs="Times New Roman"/>
          <w:sz w:val="28"/>
          <w:szCs w:val="28"/>
        </w:rPr>
        <w:t>Коммунарский</w:t>
      </w:r>
      <w:r w:rsidRPr="00C25E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направляемых на капитальные вложения.</w:t>
      </w:r>
    </w:p>
    <w:p w:rsidR="00881D49" w:rsidRPr="00C25E1C" w:rsidRDefault="00881D49" w:rsidP="00C25E1C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C25E1C">
        <w:rPr>
          <w:rFonts w:ascii="Times New Roman" w:hAnsi="Times New Roman" w:cs="Times New Roman"/>
          <w:sz w:val="28"/>
          <w:szCs w:val="28"/>
        </w:rPr>
        <w:t>2. Установить, что Правила, предусмотренные пунктом 1.1 настоящего постановления, не распространяются на инвестиционные проекты, реализуе</w:t>
      </w:r>
      <w:r w:rsidRPr="00C25E1C">
        <w:rPr>
          <w:rFonts w:ascii="Times New Roman" w:hAnsi="Times New Roman" w:cs="Times New Roman"/>
          <w:sz w:val="28"/>
          <w:szCs w:val="28"/>
        </w:rPr>
        <w:lastRenderedPageBreak/>
        <w:t>мые в соответствии с концессионными соглашениями.</w:t>
      </w:r>
    </w:p>
    <w:p w:rsidR="00881D49" w:rsidRPr="00C25E1C" w:rsidRDefault="00881D49" w:rsidP="00C25E1C">
      <w:pPr>
        <w:pStyle w:val="a9"/>
        <w:tabs>
          <w:tab w:val="left" w:pos="0"/>
        </w:tabs>
        <w:suppressAutoHyphens w:val="0"/>
        <w:spacing w:line="276" w:lineRule="auto"/>
        <w:jc w:val="both"/>
        <w:rPr>
          <w:b w:val="0"/>
          <w:i w:val="0"/>
          <w:szCs w:val="28"/>
        </w:rPr>
      </w:pPr>
      <w:r w:rsidRPr="00C25E1C">
        <w:rPr>
          <w:b w:val="0"/>
          <w:i w:val="0"/>
          <w:szCs w:val="28"/>
        </w:rPr>
        <w:t xml:space="preserve">       3. Опубликовать настоящее постановление в газете «Красноярский вестник» и разместить на официальном сайте</w:t>
      </w:r>
      <w:r w:rsidR="00C25E1C">
        <w:rPr>
          <w:b w:val="0"/>
          <w:i w:val="0"/>
          <w:szCs w:val="28"/>
        </w:rPr>
        <w:t xml:space="preserve"> </w:t>
      </w:r>
      <w:r w:rsidRPr="00C25E1C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="00C25E1C">
        <w:rPr>
          <w:b w:val="0"/>
          <w:i w:val="0"/>
          <w:spacing w:val="2"/>
          <w:szCs w:val="28"/>
          <w:shd w:val="clear" w:color="auto" w:fill="FFFFFF"/>
        </w:rPr>
        <w:t xml:space="preserve"> </w:t>
      </w:r>
      <w:r w:rsidRPr="00C25E1C">
        <w:rPr>
          <w:b w:val="0"/>
          <w:i w:val="0"/>
          <w:spacing w:val="2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4F2358" w:rsidRPr="00C25E1C">
        <w:rPr>
          <w:b w:val="0"/>
          <w:i w:val="0"/>
          <w:spacing w:val="2"/>
          <w:szCs w:val="28"/>
          <w:shd w:val="clear" w:color="auto" w:fill="FFFFFF"/>
        </w:rPr>
        <w:t xml:space="preserve">я» - «Сельское поселение </w:t>
      </w:r>
      <w:r w:rsidR="005951D3" w:rsidRPr="00C25E1C">
        <w:rPr>
          <w:b w:val="0"/>
          <w:i w:val="0"/>
          <w:szCs w:val="28"/>
        </w:rPr>
        <w:t>Коммунарский</w:t>
      </w:r>
      <w:r w:rsidRPr="00C25E1C">
        <w:rPr>
          <w:b w:val="0"/>
          <w:i w:val="0"/>
          <w:spacing w:val="2"/>
          <w:szCs w:val="28"/>
          <w:shd w:val="clear" w:color="auto" w:fill="FFFFFF"/>
        </w:rPr>
        <w:t>»</w:t>
      </w:r>
      <w:r w:rsidRPr="00C25E1C">
        <w:rPr>
          <w:b w:val="0"/>
          <w:i w:val="0"/>
          <w:szCs w:val="28"/>
        </w:rPr>
        <w:t>.</w:t>
      </w:r>
    </w:p>
    <w:p w:rsidR="00881D49" w:rsidRDefault="00881D49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C25E1C" w:rsidRPr="00881D49" w:rsidRDefault="00C25E1C" w:rsidP="00881D49">
      <w:pPr>
        <w:pStyle w:val="a9"/>
        <w:tabs>
          <w:tab w:val="left" w:pos="0"/>
        </w:tabs>
        <w:suppressAutoHyphens w:val="0"/>
        <w:jc w:val="both"/>
        <w:rPr>
          <w:b w:val="0"/>
          <w:i w:val="0"/>
          <w:sz w:val="24"/>
          <w:szCs w:val="24"/>
        </w:rPr>
      </w:pPr>
    </w:p>
    <w:p w:rsidR="004F2358" w:rsidRPr="007F5FDB" w:rsidRDefault="004F2358" w:rsidP="004F2358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4F2358" w:rsidRPr="007F5FDB" w:rsidRDefault="005951D3" w:rsidP="004F2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51D3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4F2358"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4F2358" w:rsidRPr="007F5FDB" w:rsidRDefault="004F2358" w:rsidP="004F2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                            </w:t>
      </w:r>
      <w:r w:rsidR="005951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В.С. Волгушев</w:t>
      </w: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5E1C" w:rsidRDefault="00C25E1C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1D49" w:rsidRPr="007F7C36" w:rsidRDefault="00881D49" w:rsidP="00881D49">
      <w:pPr>
        <w:pStyle w:val="ConsPlusNormal"/>
        <w:ind w:left="5664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C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25E1C">
        <w:rPr>
          <w:rFonts w:ascii="Times New Roman" w:hAnsi="Times New Roman" w:cs="Times New Roman"/>
          <w:sz w:val="24"/>
          <w:szCs w:val="24"/>
        </w:rPr>
        <w:t>П</w:t>
      </w:r>
      <w:r w:rsidRPr="007F7C36">
        <w:rPr>
          <w:rFonts w:ascii="Times New Roman" w:hAnsi="Times New Roman" w:cs="Times New Roman"/>
          <w:sz w:val="24"/>
          <w:szCs w:val="24"/>
        </w:rPr>
        <w:t>остановлением</w:t>
      </w:r>
      <w:r w:rsidR="00C25E1C">
        <w:rPr>
          <w:rFonts w:ascii="Times New Roman" w:hAnsi="Times New Roman" w:cs="Times New Roman"/>
          <w:sz w:val="24"/>
          <w:szCs w:val="24"/>
        </w:rPr>
        <w:t xml:space="preserve"> </w:t>
      </w:r>
      <w:r w:rsidRPr="007F7C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51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</w:t>
      </w:r>
      <w:r w:rsidR="004F2358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Красноярский</w:t>
      </w:r>
    </w:p>
    <w:p w:rsidR="00881D49" w:rsidRPr="007F7C36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Самарской области</w:t>
      </w:r>
    </w:p>
    <w:p w:rsidR="00881D49" w:rsidRPr="007F7C36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25E1C">
        <w:rPr>
          <w:rFonts w:ascii="Times New Roman" w:hAnsi="Times New Roman" w:cs="Times New Roman"/>
          <w:sz w:val="24"/>
          <w:szCs w:val="24"/>
        </w:rPr>
        <w:t xml:space="preserve">от </w:t>
      </w:r>
      <w:r w:rsidR="00141252">
        <w:rPr>
          <w:rFonts w:ascii="Times New Roman" w:hAnsi="Times New Roman" w:cs="Times New Roman"/>
          <w:sz w:val="24"/>
          <w:szCs w:val="24"/>
        </w:rPr>
        <w:t xml:space="preserve">05 марта </w:t>
      </w:r>
      <w:r w:rsidRPr="00C25E1C">
        <w:rPr>
          <w:rFonts w:ascii="Times New Roman" w:hAnsi="Times New Roman" w:cs="Times New Roman"/>
          <w:sz w:val="24"/>
          <w:szCs w:val="24"/>
        </w:rPr>
        <w:t>20</w:t>
      </w:r>
      <w:r w:rsidR="00C25E1C" w:rsidRPr="00C25E1C">
        <w:rPr>
          <w:rFonts w:ascii="Times New Roman" w:hAnsi="Times New Roman" w:cs="Times New Roman"/>
          <w:sz w:val="24"/>
          <w:szCs w:val="24"/>
        </w:rPr>
        <w:t>20</w:t>
      </w:r>
      <w:r w:rsidRPr="00C25E1C">
        <w:rPr>
          <w:rFonts w:ascii="Times New Roman" w:hAnsi="Times New Roman" w:cs="Times New Roman"/>
          <w:sz w:val="24"/>
          <w:szCs w:val="24"/>
        </w:rPr>
        <w:t xml:space="preserve"> г. №</w:t>
      </w:r>
      <w:r w:rsidR="004F2358" w:rsidRPr="00C25E1C">
        <w:rPr>
          <w:rFonts w:ascii="Times New Roman" w:hAnsi="Times New Roman" w:cs="Times New Roman"/>
          <w:sz w:val="24"/>
          <w:szCs w:val="24"/>
        </w:rPr>
        <w:t xml:space="preserve"> </w:t>
      </w:r>
      <w:r w:rsidR="00141252">
        <w:rPr>
          <w:rFonts w:ascii="Times New Roman" w:hAnsi="Times New Roman" w:cs="Times New Roman"/>
          <w:sz w:val="24"/>
          <w:szCs w:val="24"/>
        </w:rPr>
        <w:t>18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4F2358">
        <w:rPr>
          <w:rFonts w:ascii="Times New Roman" w:hAnsi="Times New Roman" w:cs="Times New Roman"/>
          <w:sz w:val="24"/>
          <w:szCs w:val="24"/>
        </w:rPr>
        <w:t>ПРАВИЛА</w:t>
      </w: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358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 ЭФФЕКТИВНОСТИ ИСПОЛЬЗОВАНИЯ СРЕДСТВ БЮДЖЕТА СЕЛЬСКОГО ПОСЕЛЕНИ</w:t>
      </w:r>
      <w:r w:rsidR="004F2358">
        <w:rPr>
          <w:rFonts w:ascii="Times New Roman" w:hAnsi="Times New Roman" w:cs="Times New Roman"/>
          <w:sz w:val="24"/>
          <w:szCs w:val="24"/>
        </w:rPr>
        <w:t xml:space="preserve">Я </w:t>
      </w:r>
      <w:r w:rsidR="005951D3">
        <w:rPr>
          <w:rFonts w:ascii="Times New Roman" w:hAnsi="Times New Roman" w:cs="Times New Roman"/>
          <w:sz w:val="24"/>
          <w:szCs w:val="24"/>
        </w:rPr>
        <w:t>КОММНАРСКИЙ</w:t>
      </w:r>
      <w:r w:rsidRPr="004F235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 НАПРАВЛЯЕМЫХ</w:t>
      </w:r>
    </w:p>
    <w:p w:rsidR="00881D49" w:rsidRPr="004F2358" w:rsidRDefault="00881D49" w:rsidP="00881D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358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02889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</w:t>
      </w:r>
      <w:r w:rsidR="004F2358">
        <w:rPr>
          <w:rFonts w:ascii="Times New Roman" w:hAnsi="Times New Roman" w:cs="Times New Roman"/>
          <w:sz w:val="24"/>
          <w:szCs w:val="24"/>
        </w:rPr>
        <w:t xml:space="preserve">юджета сельского бюджета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(далее - средства местного бюджета), на предмет эффективности использования средств местного бюджета, направляемых на капитальные вложения (далее - проверка).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</w:t>
      </w:r>
      <w:r w:rsidR="004F2358">
        <w:rPr>
          <w:rFonts w:ascii="Times New Roman" w:hAnsi="Times New Roman" w:cs="Times New Roman"/>
          <w:sz w:val="24"/>
          <w:szCs w:val="24"/>
        </w:rPr>
        <w:t xml:space="preserve">акта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(да</w:t>
      </w:r>
      <w:r w:rsidR="004F2358">
        <w:rPr>
          <w:rFonts w:ascii="Times New Roman" w:hAnsi="Times New Roman" w:cs="Times New Roman"/>
          <w:sz w:val="24"/>
          <w:szCs w:val="24"/>
        </w:rPr>
        <w:t xml:space="preserve">лее – сельское поселение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),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 собственности поселения (района);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инвестиций муниципальным бюджетным учрежде</w:t>
      </w:r>
      <w:r w:rsidR="004F2358">
        <w:rPr>
          <w:rFonts w:ascii="Times New Roman" w:hAnsi="Times New Roman" w:cs="Times New Roman"/>
          <w:sz w:val="24"/>
          <w:szCs w:val="24"/>
        </w:rPr>
        <w:t xml:space="preserve">ниям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, муниципальным автономным учреждениям поселения и муниципальным унитарным предприя</w:t>
      </w:r>
      <w:r w:rsidR="004F2358">
        <w:rPr>
          <w:rFonts w:ascii="Times New Roman" w:hAnsi="Times New Roman" w:cs="Times New Roman"/>
          <w:sz w:val="24"/>
          <w:szCs w:val="24"/>
        </w:rPr>
        <w:t xml:space="preserve">тиям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 xml:space="preserve">Коммунарский </w:t>
      </w:r>
      <w:r w:rsidRPr="00202889">
        <w:rPr>
          <w:rFonts w:ascii="Times New Roman" w:hAnsi="Times New Roman" w:cs="Times New Roman"/>
          <w:sz w:val="24"/>
          <w:szCs w:val="24"/>
        </w:rPr>
        <w:t>на осуществление указанными организациями капитальных вложений в объекты капитального строительства муниципальной собственности поселения (района).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пункте 1 настоящих Правил, в случае если их сметная стоимость превышает </w:t>
      </w:r>
      <w:r w:rsidRPr="00202889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202889">
        <w:rPr>
          <w:rFonts w:ascii="Times New Roman" w:hAnsi="Times New Roman" w:cs="Times New Roman"/>
          <w:sz w:val="24"/>
          <w:szCs w:val="24"/>
        </w:rPr>
        <w:t xml:space="preserve">., а также по решениям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Администра</w:t>
      </w:r>
      <w:r w:rsidR="004F2358">
        <w:rPr>
          <w:rFonts w:ascii="Times New Roman" w:hAnsi="Times New Roman" w:cs="Times New Roman"/>
          <w:sz w:val="24"/>
          <w:szCs w:val="24"/>
        </w:rPr>
        <w:t>ции  сельского</w:t>
      </w:r>
      <w:proofErr w:type="gramEnd"/>
      <w:r w:rsidR="004F235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="005951D3" w:rsidRPr="00202889">
        <w:rPr>
          <w:rFonts w:ascii="Times New Roman" w:hAnsi="Times New Roman" w:cs="Times New Roman"/>
          <w:sz w:val="24"/>
          <w:szCs w:val="24"/>
        </w:rPr>
        <w:t xml:space="preserve"> </w:t>
      </w:r>
      <w:r w:rsidRPr="00202889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(далее – Администр</w:t>
      </w:r>
      <w:r w:rsidR="004F2358">
        <w:rPr>
          <w:rFonts w:ascii="Times New Roman" w:hAnsi="Times New Roman" w:cs="Times New Roman"/>
          <w:sz w:val="24"/>
          <w:szCs w:val="24"/>
        </w:rPr>
        <w:t xml:space="preserve">ация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) независимо от их сметной стоимости.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Проверка осуществляется администра</w:t>
      </w:r>
      <w:r w:rsidR="004F2358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  <w:proofErr w:type="gramStart"/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</w:t>
      </w:r>
      <w:r w:rsidR="004F2358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администрацией поселения или муниципальными бюджетными учреждениями, муниципальными автономными учреждениями, муниципальными унитарными предприят</w:t>
      </w:r>
      <w:r w:rsidR="004F2358">
        <w:rPr>
          <w:rFonts w:ascii="Times New Roman" w:hAnsi="Times New Roman" w:cs="Times New Roman"/>
          <w:sz w:val="24"/>
          <w:szCs w:val="24"/>
        </w:rPr>
        <w:t xml:space="preserve">иями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поселения(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района)  для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6. Администр</w:t>
      </w:r>
      <w:r w:rsidR="004F2358">
        <w:rPr>
          <w:rFonts w:ascii="Times New Roman" w:hAnsi="Times New Roman" w:cs="Times New Roman"/>
          <w:sz w:val="24"/>
          <w:szCs w:val="24"/>
        </w:rPr>
        <w:t xml:space="preserve">ация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постановлением Администрации се</w:t>
      </w:r>
      <w:r w:rsidR="004F2358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2. Критерии оценки эффективности использования средств</w:t>
      </w:r>
    </w:p>
    <w:p w:rsidR="00881D49" w:rsidRPr="00202889" w:rsidRDefault="00881D49" w:rsidP="00881D4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местного бюджета, направляемых на капитальные вложения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7.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показатели), приведенных в таблице 1 «Оценка соответствия инвестиционного проекта качественным критериям» приложения № 1 к Методике: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соответствие цели инвестиционного проекта приоритетам и целям, определенным в муниципальных програ</w:t>
      </w:r>
      <w:r w:rsidR="004F2358">
        <w:rPr>
          <w:rFonts w:ascii="Times New Roman" w:hAnsi="Times New Roman" w:cs="Times New Roman"/>
          <w:sz w:val="24"/>
          <w:szCs w:val="24"/>
        </w:rPr>
        <w:t xml:space="preserve">ммах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, прогнозах и стратегии социально-экономического разв</w:t>
      </w:r>
      <w:r w:rsidR="004F2358">
        <w:rPr>
          <w:rFonts w:ascii="Times New Roman" w:hAnsi="Times New Roman" w:cs="Times New Roman"/>
          <w:sz w:val="24"/>
          <w:szCs w:val="24"/>
        </w:rPr>
        <w:t xml:space="preserve">ития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8. 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местного бюджета, направляемых на капитальные вложения (далее - количественные критерии), в соответствии с таблицей 2 «Оценка соответствия инвестиционного проекта количественным критериям» приложения № 1 к Методике: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02889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02889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02889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г)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для обеспечения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9. Проверка по количественному критерию, предусмотренному подпунктом «б»  пункта 8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предусмотренному  подпунктом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«б» пункта 8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 1 к Методике.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3. Порядок проведения проверки инвестиционных проектов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02889">
        <w:rPr>
          <w:rFonts w:ascii="Times New Roman" w:hAnsi="Times New Roman" w:cs="Times New Roman"/>
          <w:sz w:val="24"/>
          <w:szCs w:val="24"/>
        </w:rPr>
        <w:t>11. Заявители представляют в администрацию сель</w:t>
      </w:r>
      <w:r w:rsidR="004F235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  подписанные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руководителем заявителя (уполномоченным им лицом) и заверенные печатью (при наличии) следующие документы: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заявление на проведение проверки по форме согласно приложению № 1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 форме</w:t>
      </w:r>
      <w:hyperlink w:anchor="P178" w:history="1"/>
      <w:r w:rsidRPr="00202889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с  пунктом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13 настоящих Правил;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 пунктом 14 настоящих Правил;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202889">
        <w:rPr>
          <w:rFonts w:ascii="Times New Roman" w:hAnsi="Times New Roman" w:cs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202889">
        <w:rPr>
          <w:rFonts w:ascii="Times New Roman" w:hAnsi="Times New Roman" w:cs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>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2028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2889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202889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202889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202889">
          <w:rPr>
            <w:rFonts w:ascii="Times New Roman" w:hAnsi="Times New Roman" w:cs="Times New Roman"/>
            <w:sz w:val="24"/>
            <w:szCs w:val="24"/>
          </w:rPr>
          <w:t>"з" пункта 11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202889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срок подготовки и реализации инвестиционного проекта;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ж) обоснование спроса (потребности) на услуги (продукцию), создаваемые в результате реализации инвестиционного проекта,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для обеспечения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з) обоснование </w:t>
      </w:r>
      <w:proofErr w:type="gramStart"/>
      <w:r w:rsidRPr="00202889">
        <w:rPr>
          <w:rFonts w:ascii="Times New Roman" w:hAnsi="Times New Roman" w:cs="Times New Roman"/>
          <w:sz w:val="24"/>
          <w:szCs w:val="24"/>
        </w:rPr>
        <w:t>планируемого обеспечения</w:t>
      </w:r>
      <w:proofErr w:type="gramEnd"/>
      <w:r w:rsidRPr="00202889">
        <w:rPr>
          <w:rFonts w:ascii="Times New Roman" w:hAnsi="Times New Roman" w:cs="Times New Roman"/>
          <w:sz w:val="24"/>
          <w:szCs w:val="24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202889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202889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16. В случае если недостатки, содержащиеся в представленных документах, могут быть устранены без отказа в принятии документов, администрация устанавливает заявителю для их устранения срок, не превышающий рабочих 10 дней.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202889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20288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 календарных дней с момента представления всех требуемых документов и устранения выявленных замечаний.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4. Выдача заключения о результатах проверки</w:t>
      </w:r>
    </w:p>
    <w:p w:rsidR="00881D49" w:rsidRPr="0020288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02889" w:rsidRDefault="00881D49" w:rsidP="00881D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администрации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20288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настоящим Правилам;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202889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20288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202889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то в отношении такого проекта проводится повторная проверка в соответствии с настоящими Правилами.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 xml:space="preserve">Отрицательное заключение, полученное в соответствии с </w:t>
      </w:r>
      <w:hyperlink w:anchor="P123" w:history="1">
        <w:r w:rsidRPr="00202889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202889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881D49" w:rsidRPr="00202889" w:rsidRDefault="00881D49" w:rsidP="00881D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889">
        <w:rPr>
          <w:rFonts w:ascii="Times New Roman" w:hAnsi="Times New Roman" w:cs="Times New Roman"/>
          <w:sz w:val="24"/>
          <w:szCs w:val="24"/>
        </w:rPr>
        <w:t>24. Зак</w:t>
      </w:r>
      <w:r w:rsidR="004F2358">
        <w:rPr>
          <w:rFonts w:ascii="Times New Roman" w:hAnsi="Times New Roman" w:cs="Times New Roman"/>
          <w:sz w:val="24"/>
          <w:szCs w:val="24"/>
        </w:rPr>
        <w:t>лючение утверждается Г</w:t>
      </w:r>
      <w:r w:rsidRPr="00202889">
        <w:rPr>
          <w:rFonts w:ascii="Times New Roman" w:hAnsi="Times New Roman" w:cs="Times New Roman"/>
          <w:sz w:val="24"/>
          <w:szCs w:val="24"/>
        </w:rPr>
        <w:t>л</w:t>
      </w:r>
      <w:r w:rsidR="004F2358">
        <w:rPr>
          <w:rFonts w:ascii="Times New Roman" w:hAnsi="Times New Roman" w:cs="Times New Roman"/>
          <w:sz w:val="24"/>
          <w:szCs w:val="24"/>
        </w:rPr>
        <w:t xml:space="preserve">авой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02889">
        <w:rPr>
          <w:rFonts w:ascii="Times New Roman" w:hAnsi="Times New Roman" w:cs="Times New Roman"/>
          <w:sz w:val="24"/>
          <w:szCs w:val="24"/>
        </w:rPr>
        <w:t>.</w:t>
      </w:r>
    </w:p>
    <w:p w:rsidR="00881D49" w:rsidRPr="00A4790D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Default="00881D49" w:rsidP="00881D49">
      <w:pPr>
        <w:pStyle w:val="ConsPlusNormal"/>
        <w:jc w:val="both"/>
      </w:pPr>
    </w:p>
    <w:p w:rsidR="00880588" w:rsidRDefault="00880588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="001A4018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Pr="00290D0D" w:rsidRDefault="00881D49" w:rsidP="00881D4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>ЗАЯВЛЕНИЕ</w:t>
      </w: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проведение проверки инвестиционного проекта</w:t>
      </w:r>
    </w:p>
    <w:p w:rsidR="00881D49" w:rsidRPr="00290D0D" w:rsidRDefault="00881D49" w:rsidP="001A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(титульное название объекта)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1D3" w:rsidRPr="00290D0D" w:rsidRDefault="005951D3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881D49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направляемых на капитальные вложения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1D49" w:rsidRDefault="00881D49" w:rsidP="00881D4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1A4018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881D49" w:rsidRPr="00871D1B" w:rsidRDefault="00881D49" w:rsidP="00881D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1D1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71D1B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881D49" w:rsidRPr="00290D0D" w:rsidRDefault="00881D49" w:rsidP="00881D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Форма    реализации   инвестиционного   проекта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строительство,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,  иные  инвестиции  в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(заказчике-застройщике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):  полное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и  сокращенное  наименование юридического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положительного  заключения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государственной  экспертизы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государственной  экспертизы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в  ценах года его получения или предполагаемая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предельная)  стоимость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объекта  капитального  строительства  в ценах года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инвестиционного  проекта  (нужное  подчеркнуть), с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указанием  года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ее  определения - ____г.) _________ в млн. рублей (включая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НДС/без   НДС   -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)/а  также  рассчитанная  в  ценах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соответствующих лет_________________________________________________, в том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на  подготовку  проектной документации (указываются в ценах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года представления паспорта инвестиционного проекта, а также рассчитанные в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ценах соответствующих лет), млн. рублей &lt;*&gt;: ______________________________</w:t>
      </w: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796EF2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881D49" w:rsidRPr="00796EF2" w:rsidRDefault="00881D49" w:rsidP="00881D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(млн. рублей)</w:t>
            </w: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5102" w:type="dxa"/>
          </w:tcPr>
          <w:p w:rsidR="00881D49" w:rsidRPr="00290D0D" w:rsidRDefault="00881D49" w:rsidP="002028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796EF2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1D49" w:rsidSect="00141252">
          <w:headerReference w:type="default" r:id="rId7"/>
          <w:pgSz w:w="11905" w:h="16838"/>
          <w:pgMar w:top="1239" w:right="850" w:bottom="851" w:left="1701" w:header="0" w:footer="0" w:gutter="0"/>
          <w:cols w:space="720"/>
          <w:titlePg/>
          <w:docGrid w:linePitch="299"/>
        </w:sect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13. Источники и объемы финансирования инвестиционного проекта, млн. рублей: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01"/>
        <w:gridCol w:w="1701"/>
        <w:gridCol w:w="1701"/>
        <w:gridCol w:w="1701"/>
        <w:gridCol w:w="1701"/>
      </w:tblGrid>
      <w:tr w:rsidR="00881D49" w:rsidRPr="00290D0D" w:rsidTr="00202889">
        <w:tc>
          <w:tcPr>
            <w:tcW w:w="4422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</w:t>
            </w:r>
          </w:p>
        </w:tc>
        <w:tc>
          <w:tcPr>
            <w:tcW w:w="6804" w:type="dxa"/>
            <w:gridSpan w:val="4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881D49" w:rsidRPr="00290D0D" w:rsidTr="00202889">
        <w:tc>
          <w:tcPr>
            <w:tcW w:w="4422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*&gt;/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ценах соответствующих лет)</w:t>
            </w:r>
          </w:p>
        </w:tc>
      </w:tr>
      <w:tr w:rsidR="00881D49" w:rsidRPr="00290D0D" w:rsidTr="00202889">
        <w:tc>
          <w:tcPr>
            <w:tcW w:w="442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D49" w:rsidRPr="00290D0D" w:rsidTr="00202889">
        <w:tc>
          <w:tcPr>
            <w:tcW w:w="442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 (пусковой комплекс) - 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II (пусковой комплекс) - 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этап ____ (пусковой комплекс) - всего___,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2E76B5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Pr="002E76B5" w:rsidRDefault="00881D49" w:rsidP="00881D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Количественные  показатели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(показатель)  результатов  реализации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Отношение  сметной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стоимости объекта капитального строительства к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количественным     показателям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показателю)    результатов    реализации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,  млн.  рублей/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  единицу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результата,  в текущих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ценах&lt;**&gt; _______________________________________________________________.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81D49" w:rsidSect="0020288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881D49" w:rsidRPr="002E25DA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Приложение № 3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проведения проверки инвестиционных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881D49" w:rsidRPr="002E25DA" w:rsidRDefault="00881D49" w:rsidP="00881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направляемых на капитальные вложения</w:t>
      </w:r>
    </w:p>
    <w:p w:rsidR="00881D49" w:rsidRPr="002E25DA" w:rsidRDefault="00881D49" w:rsidP="00881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>УТВЕРЖДАЮ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 xml:space="preserve">Глава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2E25DA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5951D3">
        <w:rPr>
          <w:rFonts w:ascii="Times New Roman" w:hAnsi="Times New Roman" w:cs="Times New Roman"/>
          <w:sz w:val="22"/>
          <w:szCs w:val="22"/>
        </w:rPr>
        <w:t xml:space="preserve">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ab/>
        <w:t xml:space="preserve"> ___________ ___________________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(подпись) (Ф.И.О.)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местного бюджета, направляемых на капитальные вложения</w:t>
      </w:r>
    </w:p>
    <w:p w:rsidR="00881D49" w:rsidRPr="002E25DA" w:rsidRDefault="00881D49" w:rsidP="00881D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881D49" w:rsidRPr="002E25DA" w:rsidRDefault="00881D49" w:rsidP="00881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Сведения  об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инвестиционном  проекте,  по  которому  осуществлена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проверка  на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предмет эффективности использования средств местного бюджета,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направляемых на капитальные вложения: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>показателя)    реализации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инвестиционного   проекта   с   указанием   единиц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измерения  показателей</w:t>
      </w:r>
      <w:proofErr w:type="gramEnd"/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эффективности  использования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средств  местного  бюджета,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направляемых на капитальные вложения по инвестиционному проекту: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(критериев), %: 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(критериев), %: 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стоимости  инвестиционного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проекта  к  значениям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количественных     показателей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>показателя)    результатов    реализации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проекта, %: _______________________;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изменение  уровня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обеспеченности  населения поселения  </w:t>
      </w:r>
      <w:r>
        <w:rPr>
          <w:rFonts w:ascii="Times New Roman" w:hAnsi="Times New Roman" w:cs="Times New Roman"/>
          <w:sz w:val="24"/>
          <w:szCs w:val="24"/>
        </w:rPr>
        <w:t>(района)</w:t>
      </w:r>
      <w:r w:rsidRPr="002E25DA">
        <w:rPr>
          <w:rFonts w:ascii="Times New Roman" w:hAnsi="Times New Roman" w:cs="Times New Roman"/>
          <w:sz w:val="22"/>
          <w:szCs w:val="22"/>
        </w:rPr>
        <w:t>определенным  видом  продукции  (услуг),  создаваемой в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результате реализации инвестиционного проекта, %: _________________________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эффективности, %: ________________________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эффективности  использования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средств  местного  бюджета,  направляемых  на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капитальные вложения: превышение предельного значения (_____%) интегральной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оценки   эффективности   инвестиционного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проекта  (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>наименование  проекта)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свидетельствует   об   эффективности 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данного  инвестиционного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 проекта  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Должностное лицо администрации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>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881D49" w:rsidRPr="002E25DA" w:rsidRDefault="00881D49" w:rsidP="001A4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5951D3" w:rsidP="00881D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81D49" w:rsidRPr="00290D0D">
        <w:rPr>
          <w:rFonts w:ascii="Times New Roman" w:hAnsi="Times New Roman" w:cs="Times New Roman"/>
          <w:sz w:val="24"/>
          <w:szCs w:val="24"/>
        </w:rPr>
        <w:t>Утверждена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81D49" w:rsidRDefault="001A4018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881D49" w:rsidRPr="00290D0D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   </w:t>
      </w:r>
    </w:p>
    <w:p w:rsidR="00881D49" w:rsidRDefault="005951D3" w:rsidP="0014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41252" w:rsidRPr="00C25E1C">
        <w:rPr>
          <w:rFonts w:ascii="Times New Roman" w:hAnsi="Times New Roman" w:cs="Times New Roman"/>
          <w:sz w:val="24"/>
          <w:szCs w:val="24"/>
        </w:rPr>
        <w:t xml:space="preserve">от </w:t>
      </w:r>
      <w:r w:rsidR="00141252">
        <w:rPr>
          <w:rFonts w:ascii="Times New Roman" w:hAnsi="Times New Roman" w:cs="Times New Roman"/>
          <w:sz w:val="24"/>
          <w:szCs w:val="24"/>
        </w:rPr>
        <w:t xml:space="preserve">05 марта </w:t>
      </w:r>
      <w:r w:rsidR="00141252" w:rsidRPr="00C25E1C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141252">
        <w:rPr>
          <w:rFonts w:ascii="Times New Roman" w:hAnsi="Times New Roman" w:cs="Times New Roman"/>
          <w:sz w:val="24"/>
          <w:szCs w:val="24"/>
        </w:rPr>
        <w:t>18</w:t>
      </w:r>
    </w:p>
    <w:p w:rsidR="00141252" w:rsidRPr="00290D0D" w:rsidRDefault="00141252" w:rsidP="0014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МЕСТНОГО БЮДЖЕТА, НАПРАВЛЯЕМЫХ 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51D3">
        <w:rPr>
          <w:rFonts w:ascii="Times New Roman" w:hAnsi="Times New Roman" w:cs="Times New Roman"/>
          <w:sz w:val="24"/>
          <w:szCs w:val="24"/>
        </w:rPr>
        <w:t>Коммунарский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муниципальных  программах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осуществлением  муниципальными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органами полномочий, отнесенных к предмету их ведения;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социальная значимость объекта капитального строительства, создаваемого в рамках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9" name="Рисунок 9" descr="base_23808_1044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0443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качественного критерия;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2187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7 таблицы 1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881D49" w:rsidRPr="008B2187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  определенным видом продукции (услуг), создаваемой в результате реализации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для обеспечения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019175" cy="457200"/>
            <wp:effectExtent l="0" t="0" r="0" b="0"/>
            <wp:docPr id="8" name="Рисунок 8" descr="base_23808_1044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04432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количественного критерия, в процентах;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5 таблицы 2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8B2187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 xml:space="preserve">таблице 2 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B218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>
            <wp:extent cx="819150" cy="390525"/>
            <wp:effectExtent l="0" t="0" r="0" b="9525"/>
            <wp:docPr id="7" name="Рисунок 7" descr="base_23808_1044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04432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-, водо-, теплоснабжение, телефонная связь, объекты транспортной инфраструктуры), в процентах;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881D49" w:rsidRPr="00290D0D" w:rsidRDefault="00881D49" w:rsidP="00881D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3.4. 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 xml:space="preserve"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>нормативов цены строительства сравнение стоимости инвестиционного проекта на ранних стадиях инвестиционно-строительного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0D0D">
        <w:rPr>
          <w:rFonts w:ascii="Times New Roman" w:hAnsi="Times New Roman" w:cs="Times New Roman"/>
          <w:sz w:val="24"/>
          <w:szCs w:val="24"/>
        </w:rPr>
        <w:t xml:space="preserve"> x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x 0,8,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252" w:rsidRDefault="00141252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881D49" w:rsidRPr="00290D0D" w:rsidRDefault="00881D49" w:rsidP="00881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>новое  строительство,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реконструкция  или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техническое  перевооружение  действующего производства)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49" w:rsidRPr="00290D0D" w:rsidRDefault="00881D49" w:rsidP="00881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  <w:sectPr w:rsidR="00881D49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t>Таблица 1. Оценка соответствия инвестиционного проекта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551"/>
        <w:gridCol w:w="1417"/>
        <w:gridCol w:w="1145"/>
        <w:gridCol w:w="4819"/>
        <w:gridCol w:w="2891"/>
      </w:tblGrid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881D49" w:rsidRPr="007E186F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81D49" w:rsidRPr="00290D0D" w:rsidRDefault="00881D49" w:rsidP="00915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и реквизиты соответствующих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Хилково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указанные  программы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указываются реквизиты документа, содержащего оценку влияния реализации инвестиционного проекта на комплексное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соответствующей  программы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о разработке которых принято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поселения(района)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наличие документального подтверждения 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1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представляет: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881D49" w:rsidRPr="009941EF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95300" cy="457200"/>
                  <wp:effectExtent l="0" t="0" r="0" b="0"/>
                  <wp:docPr id="6" name="Рисунок 6" descr="base_23808_10443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08_10443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272" w:type="dxa"/>
            <w:gridSpan w:val="4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943100" cy="457200"/>
                  <wp:effectExtent l="0" t="0" r="0" b="0"/>
                  <wp:docPr id="5" name="Рисунок 5" descr="base_23808_10443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08_10443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паспорте  инвестиционного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значения количественных показателей результатов его реализации должны отвечать следующим требованиям: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4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Паспорт инвестиционного проекта (пункт 15)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Федерации, а также за рубежом (при отсутствии аналогов на территории России)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881D49" w:rsidRPr="00290D0D" w:rsidRDefault="00881D49" w:rsidP="00915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</w:p>
        </w:tc>
        <w:tc>
          <w:tcPr>
            <w:tcW w:w="170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поселения(района)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видом продукции (услуг) после реализации проекта достигает или превышает средне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областное значение, но не превышает нормативное значение, закрепленное в соответствующих документах.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915EA8"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видом продукции (услуг) после реализации проекта возрастает, но при этом не достигает средне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областного значения.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 xml:space="preserve"> Коммунарский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превышает нормативное значение.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также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Для расчета указанного критерия заявитель использует статистические данные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15EA8">
              <w:rPr>
                <w:rFonts w:ascii="Times New Roman" w:hAnsi="Times New Roman" w:cs="Times New Roman"/>
                <w:sz w:val="24"/>
                <w:szCs w:val="24"/>
              </w:rPr>
              <w:t xml:space="preserve"> Коммунарский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обоснование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планируемого обеспечения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создаваемого (реконструируемого) объекта капитального строительства инженерной и транспортной инфраструктурой.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881D49" w:rsidRPr="00290D0D" w:rsidTr="00202889">
        <w:tc>
          <w:tcPr>
            <w:tcW w:w="684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962025" cy="457200"/>
                  <wp:effectExtent l="0" t="0" r="9525" b="0"/>
                  <wp:docPr id="4" name="Рисунок 4" descr="base_23808_10443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08_10443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0"/>
        <w:gridCol w:w="4592"/>
        <w:gridCol w:w="4310"/>
      </w:tblGrid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943100" cy="457200"/>
                  <wp:effectExtent l="0" t="0" r="0" b="0"/>
                  <wp:docPr id="3" name="Рисунок 3" descr="base_23808_10443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08_10443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962025" cy="457200"/>
                  <wp:effectExtent l="0" t="0" r="9525" b="0"/>
                  <wp:docPr id="2" name="Рисунок 2" descr="base_23808_10443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08_10443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81D49" w:rsidRPr="00290D0D" w:rsidTr="00202889">
        <w:tc>
          <w:tcPr>
            <w:tcW w:w="460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4310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  <w:sectPr w:rsidR="00881D49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36"/>
        <w:gridCol w:w="2126"/>
      </w:tblGrid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поселения(района)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1D49" w:rsidRPr="00290D0D" w:rsidTr="00202889">
        <w:tc>
          <w:tcPr>
            <w:tcW w:w="647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881D49" w:rsidRPr="00290D0D" w:rsidRDefault="00881D49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1"/>
        <w:gridCol w:w="3515"/>
      </w:tblGrid>
      <w:tr w:rsidR="00881D49" w:rsidRPr="00290D0D" w:rsidTr="00202889">
        <w:tc>
          <w:tcPr>
            <w:tcW w:w="2665" w:type="dxa"/>
            <w:vMerge w:val="restart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881D49" w:rsidRPr="00290D0D" w:rsidTr="00202889">
        <w:tc>
          <w:tcPr>
            <w:tcW w:w="2665" w:type="dxa"/>
            <w:vMerge/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Общежития; казармы для военнослужащих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-технологические центры, бизнес-инкубаторы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881D49" w:rsidRPr="00290D0D" w:rsidTr="00202889">
        <w:tc>
          <w:tcPr>
            <w:tcW w:w="9011" w:type="dxa"/>
            <w:gridSpan w:val="3"/>
          </w:tcPr>
          <w:p w:rsidR="00881D49" w:rsidRPr="00290D0D" w:rsidRDefault="00881D49" w:rsidP="002028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881D49" w:rsidRPr="00290D0D" w:rsidRDefault="00881D49" w:rsidP="0020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49" w:rsidRPr="00290D0D" w:rsidTr="00202889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Эксплуатационная длина путей сообщения общего пользования, км.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Эксплуатационная длина объекта, км.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881D49" w:rsidRPr="00290D0D" w:rsidTr="00202889">
        <w:tc>
          <w:tcPr>
            <w:tcW w:w="266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-км в год.</w:t>
            </w:r>
          </w:p>
          <w:p w:rsidR="00881D49" w:rsidRPr="00290D0D" w:rsidRDefault="00881D49" w:rsidP="0020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588" w:rsidRDefault="00880588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</w:p>
    <w:p w:rsidR="00881D49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</w:t>
      </w:r>
    </w:p>
    <w:p w:rsidR="00881D49" w:rsidRDefault="00881D49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90D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81D49" w:rsidRDefault="001A4018" w:rsidP="00881D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5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5EA8">
        <w:rPr>
          <w:rFonts w:ascii="Times New Roman" w:hAnsi="Times New Roman" w:cs="Times New Roman"/>
          <w:sz w:val="24"/>
          <w:szCs w:val="24"/>
        </w:rPr>
        <w:t>Коммунарский</w:t>
      </w:r>
    </w:p>
    <w:p w:rsidR="00881D49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881D49" w:rsidRPr="00290D0D" w:rsidRDefault="00881D49" w:rsidP="00881D49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Самарской области   </w:t>
      </w:r>
    </w:p>
    <w:p w:rsidR="00881D49" w:rsidRPr="00290D0D" w:rsidRDefault="00915EA8" w:rsidP="00881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0588">
        <w:rPr>
          <w:rFonts w:ascii="Times New Roman" w:hAnsi="Times New Roman" w:cs="Times New Roman"/>
          <w:sz w:val="24"/>
          <w:szCs w:val="24"/>
        </w:rPr>
        <w:t>от 05 марта 2020 г. № 18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94"/>
      <w:bookmarkEnd w:id="31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881D49" w:rsidRPr="00290D0D" w:rsidRDefault="00881D49" w:rsidP="0088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881D49" w:rsidRPr="00290D0D" w:rsidRDefault="00881D49" w:rsidP="0088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D49" w:rsidRPr="00290D0D" w:rsidRDefault="00881D49" w:rsidP="00881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881D49" w:rsidRPr="00290D0D" w:rsidRDefault="00881D49" w:rsidP="00881D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5"/>
      <w:bookmarkEnd w:id="32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д)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881D49" w:rsidRPr="00290D0D" w:rsidRDefault="00881D49" w:rsidP="00881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881D49" w:rsidRPr="00290D0D" w:rsidRDefault="00881D49" w:rsidP="00881D49">
      <w:pPr>
        <w:rPr>
          <w:rFonts w:ascii="Times New Roman" w:hAnsi="Times New Roman" w:cs="Times New Roman"/>
          <w:sz w:val="24"/>
          <w:szCs w:val="24"/>
        </w:rPr>
      </w:pPr>
    </w:p>
    <w:p w:rsidR="00EB5458" w:rsidRDefault="00EB5458"/>
    <w:sectPr w:rsidR="00EB5458" w:rsidSect="0020288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3B" w:rsidRDefault="00BB113B">
      <w:pPr>
        <w:spacing w:after="0" w:line="240" w:lineRule="auto"/>
      </w:pPr>
      <w:r>
        <w:separator/>
      </w:r>
    </w:p>
  </w:endnote>
  <w:endnote w:type="continuationSeparator" w:id="0">
    <w:p w:rsidR="00BB113B" w:rsidRDefault="00BB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3B" w:rsidRDefault="00BB113B">
      <w:pPr>
        <w:spacing w:after="0" w:line="240" w:lineRule="auto"/>
      </w:pPr>
      <w:r>
        <w:separator/>
      </w:r>
    </w:p>
  </w:footnote>
  <w:footnote w:type="continuationSeparator" w:id="0">
    <w:p w:rsidR="00BB113B" w:rsidRDefault="00BB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132612"/>
      <w:docPartObj>
        <w:docPartGallery w:val="Page Numbers (Top of Page)"/>
        <w:docPartUnique/>
      </w:docPartObj>
    </w:sdtPr>
    <w:sdtEndPr/>
    <w:sdtContent>
      <w:p w:rsidR="005951D3" w:rsidRDefault="00C25E1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058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49"/>
    <w:rsid w:val="00141252"/>
    <w:rsid w:val="001A4018"/>
    <w:rsid w:val="00202889"/>
    <w:rsid w:val="00202898"/>
    <w:rsid w:val="004C64BF"/>
    <w:rsid w:val="004F2358"/>
    <w:rsid w:val="005951D3"/>
    <w:rsid w:val="00880588"/>
    <w:rsid w:val="00881D49"/>
    <w:rsid w:val="00915EA8"/>
    <w:rsid w:val="00A93BD8"/>
    <w:rsid w:val="00BB113B"/>
    <w:rsid w:val="00C25E1C"/>
    <w:rsid w:val="00D0150D"/>
    <w:rsid w:val="00EB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08C0AD-A170-45FA-BDC5-BCF1215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418EAB92E32881CF036EB04C1632A040AC9A9155D4191E8EEC965B12634BC097984551BC0T8y9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F418EAB92E32881CF036EB04C1632A040AC9A7155B4291E8EEC965B126T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41</Pages>
  <Words>11450</Words>
  <Characters>65270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7</cp:revision>
  <cp:lastPrinted>2020-03-05T07:05:00Z</cp:lastPrinted>
  <dcterms:created xsi:type="dcterms:W3CDTF">2018-05-31T10:20:00Z</dcterms:created>
  <dcterms:modified xsi:type="dcterms:W3CDTF">2020-03-05T07:08:00Z</dcterms:modified>
</cp:coreProperties>
</file>