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843FB9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Pr="00843FB9" w:rsidRDefault="00BF6412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192B" w:rsidRPr="00843FB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F6601" w:rsidRPr="00843FB9">
        <w:rPr>
          <w:rFonts w:ascii="Times New Roman" w:hAnsi="Times New Roman" w:cs="Times New Roman"/>
          <w:b/>
          <w:sz w:val="28"/>
          <w:szCs w:val="28"/>
        </w:rPr>
        <w:t xml:space="preserve"> октя</w:t>
      </w:r>
      <w:r w:rsidR="00490060" w:rsidRPr="00843FB9">
        <w:rPr>
          <w:rFonts w:ascii="Times New Roman" w:hAnsi="Times New Roman" w:cs="Times New Roman"/>
          <w:b/>
          <w:sz w:val="28"/>
          <w:szCs w:val="28"/>
        </w:rPr>
        <w:t>бря</w:t>
      </w:r>
      <w:r w:rsidR="00F6192B" w:rsidRPr="00843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7AFE">
        <w:rPr>
          <w:rFonts w:ascii="Times New Roman" w:hAnsi="Times New Roman" w:cs="Times New Roman"/>
          <w:b/>
          <w:sz w:val="28"/>
          <w:szCs w:val="28"/>
        </w:rPr>
        <w:t>3</w:t>
      </w:r>
      <w:r w:rsidR="00F6192B" w:rsidRPr="00843FB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F6192B" w:rsidRPr="00843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Pr="00843FB9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B07AFE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843FB9">
        <w:rPr>
          <w:rFonts w:ascii="Times New Roman" w:hAnsi="Times New Roman" w:cs="Times New Roman"/>
          <w:sz w:val="28"/>
          <w:szCs w:val="28"/>
        </w:rPr>
        <w:t>арской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843FB9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B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B07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>Хорошенькое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6192B" w:rsidRDefault="00843FB9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3FB9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843FB9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43FB9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F641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07A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F6412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bookmarkStart w:id="0" w:name="_GoBack"/>
      <w:bookmarkEnd w:id="0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843FB9">
        <w:rPr>
          <w:rFonts w:ascii="Times New Roman" w:eastAsia="Times New Roman" w:hAnsi="Times New Roman" w:cs="Times New Roman"/>
          <w:b/>
          <w:sz w:val="26"/>
          <w:szCs w:val="26"/>
        </w:rPr>
        <w:t>Хорошенькое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B07AF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proofErr w:type="gramStart"/>
            <w:r w:rsidR="00843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Хорошенькое </w:t>
            </w:r>
            <w:r w:rsidR="00AC7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Красноярский Самарской области (далее – Администрация);   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44" w:rsidRDefault="00B74C44" w:rsidP="00BB5FF3">
      <w:r>
        <w:separator/>
      </w:r>
    </w:p>
  </w:endnote>
  <w:endnote w:type="continuationSeparator" w:id="0">
    <w:p w:rsidR="00B74C44" w:rsidRDefault="00B74C44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44" w:rsidRDefault="00B74C44" w:rsidP="00BB5FF3">
      <w:r>
        <w:separator/>
      </w:r>
    </w:p>
  </w:footnote>
  <w:footnote w:type="continuationSeparator" w:id="0">
    <w:p w:rsidR="00B74C44" w:rsidRDefault="00B74C44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46E20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1ED5"/>
    <w:rsid w:val="006B2BDB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43FB9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83D7E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C710B"/>
    <w:rsid w:val="00AD275F"/>
    <w:rsid w:val="00AE18FC"/>
    <w:rsid w:val="00AE2F68"/>
    <w:rsid w:val="00AE3E2C"/>
    <w:rsid w:val="00AE6EC0"/>
    <w:rsid w:val="00B04F6F"/>
    <w:rsid w:val="00B0542B"/>
    <w:rsid w:val="00B07AFE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74C4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6412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03EA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C309-41BA-4B43-9D4A-23F4A34E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68</cp:revision>
  <cp:lastPrinted>2023-10-19T05:23:00Z</cp:lastPrinted>
  <dcterms:created xsi:type="dcterms:W3CDTF">2019-10-04T04:05:00Z</dcterms:created>
  <dcterms:modified xsi:type="dcterms:W3CDTF">2023-10-19T05:23:00Z</dcterms:modified>
</cp:coreProperties>
</file>