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5B2CD0" w:rsidRPr="00DB58FD" w:rsidTr="00835656">
        <w:tc>
          <w:tcPr>
            <w:tcW w:w="4367" w:type="dxa"/>
            <w:hideMark/>
          </w:tcPr>
          <w:p w:rsidR="005B2CD0" w:rsidRPr="00DB58FD" w:rsidRDefault="005B2CD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5B2CD0" w:rsidRPr="00DB58FD" w:rsidRDefault="005B2CD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5B2CD0" w:rsidRPr="00DB58FD" w:rsidRDefault="005B2CD0" w:rsidP="0083565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5B2CD0" w:rsidRPr="00DB58FD" w:rsidRDefault="005B2CD0" w:rsidP="00835656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5B2CD0" w:rsidRPr="00DB58FD" w:rsidRDefault="005B2CD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5B2CD0" w:rsidRPr="00DB58FD" w:rsidRDefault="005B2CD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5B2CD0" w:rsidRPr="00DB58FD" w:rsidRDefault="005B2CD0" w:rsidP="00835656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03 декабря 2020 года № 34</w:t>
            </w:r>
          </w:p>
        </w:tc>
      </w:tr>
    </w:tbl>
    <w:p w:rsidR="005B2CD0" w:rsidRPr="00DB58FD" w:rsidRDefault="005B2CD0" w:rsidP="005B2CD0">
      <w:pPr>
        <w:spacing w:line="360" w:lineRule="auto"/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10</w:t>
      </w:r>
    </w:p>
    <w:p w:rsidR="005B2CD0" w:rsidRDefault="005B2CD0" w:rsidP="005B2CD0">
      <w:pPr>
        <w:jc w:val="center"/>
        <w:rPr>
          <w:b/>
          <w:sz w:val="28"/>
          <w:szCs w:val="28"/>
        </w:rPr>
      </w:pPr>
      <w:r w:rsidRPr="00064E55">
        <w:rPr>
          <w:b/>
          <w:sz w:val="28"/>
          <w:szCs w:val="28"/>
        </w:rPr>
        <w:t xml:space="preserve">о передаче осуществления части полномочий </w:t>
      </w:r>
    </w:p>
    <w:p w:rsidR="005B2CD0" w:rsidRDefault="005B2CD0" w:rsidP="005B2CD0">
      <w:pPr>
        <w:jc w:val="center"/>
        <w:rPr>
          <w:b/>
          <w:sz w:val="28"/>
          <w:szCs w:val="28"/>
        </w:rPr>
      </w:pPr>
      <w:r w:rsidRPr="00064E55">
        <w:rPr>
          <w:b/>
          <w:sz w:val="28"/>
          <w:szCs w:val="28"/>
        </w:rPr>
        <w:t xml:space="preserve">по опубликованию муниципальных правовых актов, </w:t>
      </w: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064E55">
        <w:rPr>
          <w:b/>
          <w:sz w:val="28"/>
          <w:szCs w:val="28"/>
        </w:rPr>
        <w:t>проектов муниципальных правовых актов</w:t>
      </w:r>
      <w:r>
        <w:rPr>
          <w:b/>
          <w:sz w:val="28"/>
          <w:szCs w:val="28"/>
        </w:rPr>
        <w:t xml:space="preserve"> и соглашений, заключаемых между органами местного самоуправления</w:t>
      </w:r>
    </w:p>
    <w:p w:rsidR="005B2CD0" w:rsidRPr="00DB58FD" w:rsidRDefault="005B2CD0" w:rsidP="005B2CD0">
      <w:pPr>
        <w:spacing w:line="360" w:lineRule="auto"/>
        <w:ind w:firstLine="709"/>
        <w:jc w:val="center"/>
        <w:rPr>
          <w:sz w:val="28"/>
          <w:szCs w:val="28"/>
        </w:rPr>
      </w:pPr>
    </w:p>
    <w:p w:rsidR="005B2CD0" w:rsidRPr="00DB58FD" w:rsidRDefault="005B2CD0" w:rsidP="005B2CD0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 xml:space="preserve"> » декабря</w:t>
      </w:r>
      <w:r w:rsidRPr="00DB58FD">
        <w:rPr>
          <w:sz w:val="28"/>
          <w:szCs w:val="28"/>
        </w:rPr>
        <w:t xml:space="preserve"> 2020 г.</w:t>
      </w:r>
    </w:p>
    <w:p w:rsidR="005B2CD0" w:rsidRPr="00DB58FD" w:rsidRDefault="005B2CD0" w:rsidP="005B2CD0">
      <w:pPr>
        <w:spacing w:line="360" w:lineRule="auto"/>
        <w:jc w:val="both"/>
        <w:rPr>
          <w:sz w:val="28"/>
          <w:szCs w:val="28"/>
        </w:rPr>
      </w:pP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7</w:t>
      </w:r>
      <w:r w:rsidRPr="00DB58FD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7</w:t>
      </w:r>
      <w:r w:rsidRPr="00DB58FD">
        <w:rPr>
          <w:sz w:val="28"/>
          <w:szCs w:val="28"/>
        </w:rPr>
        <w:t xml:space="preserve">, частью 4 статьи 15 </w:t>
      </w:r>
      <w:r>
        <w:rPr>
          <w:sz w:val="28"/>
          <w:szCs w:val="28"/>
        </w:rPr>
        <w:t xml:space="preserve">и частью 2 </w:t>
      </w:r>
      <w:r>
        <w:rPr>
          <w:sz w:val="28"/>
          <w:szCs w:val="28"/>
        </w:rPr>
        <w:lastRenderedPageBreak/>
        <w:t xml:space="preserve">статьи 47 </w:t>
      </w:r>
      <w:r w:rsidRPr="00DB58FD">
        <w:rPr>
          <w:sz w:val="28"/>
          <w:szCs w:val="28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DB58FD">
        <w:rPr>
          <w:sz w:val="28"/>
          <w:szCs w:val="28"/>
        </w:rPr>
        <w:t xml:space="preserve"> 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по</w:t>
      </w:r>
      <w:r w:rsidRPr="00E04EAA">
        <w:rPr>
          <w:sz w:val="28"/>
          <w:szCs w:val="28"/>
        </w:rPr>
        <w:t xml:space="preserve"> опубликованию муниципальных правовых актов</w:t>
      </w:r>
      <w:r w:rsidRPr="00F72D45">
        <w:t xml:space="preserve"> </w:t>
      </w:r>
      <w:r w:rsidRPr="00F72D45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F72D45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E04EAA">
        <w:rPr>
          <w:sz w:val="28"/>
          <w:szCs w:val="28"/>
        </w:rPr>
        <w:t>, проектов муниципальных правовых актов</w:t>
      </w:r>
      <w:r>
        <w:rPr>
          <w:sz w:val="28"/>
          <w:szCs w:val="28"/>
        </w:rPr>
        <w:t xml:space="preserve"> </w:t>
      </w:r>
      <w:r w:rsidRPr="00F72D45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F72D45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E04EAA">
        <w:rPr>
          <w:sz w:val="28"/>
          <w:szCs w:val="28"/>
        </w:rPr>
        <w:t xml:space="preserve"> и соглашений, заключаемых между органами местного самоуправления</w:t>
      </w:r>
      <w:r w:rsidRPr="00E04EAA">
        <w:t xml:space="preserve"> </w:t>
      </w:r>
      <w:r w:rsidRPr="00E04EAA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04E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0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Хилково и </w:t>
      </w:r>
      <w:r w:rsidRPr="00E04EAA">
        <w:rPr>
          <w:sz w:val="28"/>
          <w:szCs w:val="28"/>
        </w:rPr>
        <w:t>муниципального района Красноярский Самарской области</w:t>
      </w:r>
      <w:r w:rsidRPr="00070C16">
        <w:rPr>
          <w:sz w:val="28"/>
          <w:szCs w:val="28"/>
        </w:rPr>
        <w:t>.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C72925">
        <w:rPr>
          <w:b/>
          <w:sz w:val="28"/>
          <w:szCs w:val="28"/>
        </w:rPr>
        <w:t>2. Права и обязанности сторон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42445A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42445A">
        <w:rPr>
          <w:sz w:val="28"/>
          <w:szCs w:val="28"/>
        </w:rPr>
        <w:t>2.1. Администрация поселения имеет право:</w:t>
      </w:r>
    </w:p>
    <w:p w:rsidR="005B2CD0" w:rsidRPr="00213735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5B2CD0" w:rsidRPr="00213735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5B2CD0" w:rsidRPr="00213735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42445A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5B2CD0" w:rsidRPr="00225C49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5B2CD0" w:rsidRPr="00225C49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5B2CD0" w:rsidRPr="0042445A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42445A">
        <w:rPr>
          <w:sz w:val="28"/>
          <w:szCs w:val="28"/>
        </w:rPr>
        <w:t>2.3. Администрация района имеет право: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42445A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5B2CD0" w:rsidRPr="008A6AA7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lastRenderedPageBreak/>
        <w:t>3. Порядок предоставления финансовых средств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>41000 тыс.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5B2CD0" w:rsidRPr="00DB58FD" w:rsidRDefault="005B2CD0" w:rsidP="005B2CD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5B2CD0" w:rsidRPr="00DB58FD" w:rsidRDefault="005B2CD0" w:rsidP="005B2CD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5B2CD0" w:rsidRPr="00DB58FD" w:rsidRDefault="005B2CD0" w:rsidP="005B2CD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</w:t>
      </w:r>
      <w:r w:rsidRPr="001A2AC8">
        <w:rPr>
          <w:sz w:val="28"/>
          <w:szCs w:val="28"/>
        </w:rPr>
        <w:lastRenderedPageBreak/>
        <w:t>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5B2CD0" w:rsidRPr="00DB58FD" w:rsidRDefault="005B2CD0" w:rsidP="005B2C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5B2CD0" w:rsidRPr="00DB58FD" w:rsidRDefault="005B2CD0" w:rsidP="005B2CD0">
      <w:pPr>
        <w:jc w:val="center"/>
        <w:rPr>
          <w:sz w:val="28"/>
          <w:szCs w:val="28"/>
        </w:rPr>
      </w:pPr>
    </w:p>
    <w:p w:rsidR="005B2CD0" w:rsidRPr="00DB58FD" w:rsidRDefault="005B2CD0" w:rsidP="005B2C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5B2CD0" w:rsidRPr="00DB58FD" w:rsidRDefault="005B2CD0" w:rsidP="005B2C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Стороны вправе установить, что условия заключенного ими дополнительного соглашения применяются к их отношениям, возникшим до </w:t>
      </w:r>
      <w:r w:rsidRPr="00DB58FD">
        <w:rPr>
          <w:sz w:val="28"/>
          <w:szCs w:val="28"/>
        </w:rPr>
        <w:lastRenderedPageBreak/>
        <w:t>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5B2CD0" w:rsidRPr="00DB58FD" w:rsidRDefault="005B2CD0" w:rsidP="005B2CD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5B2CD0" w:rsidRPr="00DB58FD" w:rsidRDefault="005B2CD0" w:rsidP="005B2CD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5B2CD0" w:rsidRPr="00DB58FD" w:rsidRDefault="005B2CD0" w:rsidP="005B2CD0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5B2CD0" w:rsidRPr="00DB58FD" w:rsidRDefault="005B2CD0" w:rsidP="005B2CD0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5B2CD0" w:rsidRPr="00DB58FD" w:rsidTr="00835656">
        <w:tc>
          <w:tcPr>
            <w:tcW w:w="5038" w:type="dxa"/>
            <w:hideMark/>
          </w:tcPr>
          <w:p w:rsidR="005B2CD0" w:rsidRPr="00DB58FD" w:rsidRDefault="005B2CD0" w:rsidP="00835656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5B2CD0" w:rsidRPr="00DB58FD" w:rsidRDefault="005B2CD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5B2CD0" w:rsidRPr="00DB58FD" w:rsidRDefault="005B2CD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5B2CD0" w:rsidRPr="00DB58FD" w:rsidTr="00835656">
        <w:trPr>
          <w:trHeight w:val="1082"/>
        </w:trPr>
        <w:tc>
          <w:tcPr>
            <w:tcW w:w="5038" w:type="dxa"/>
            <w:hideMark/>
          </w:tcPr>
          <w:p w:rsidR="005B2CD0" w:rsidRPr="00DB58FD" w:rsidRDefault="005B2CD0" w:rsidP="00835656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5B2CD0" w:rsidRPr="00DB58FD" w:rsidRDefault="005B2CD0" w:rsidP="00835656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5B2CD0" w:rsidRPr="00DB58FD" w:rsidRDefault="005B2CD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5B2CD0" w:rsidRPr="00DB58FD" w:rsidRDefault="005B2CD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5B2CD0" w:rsidRPr="00DB58FD" w:rsidRDefault="005B2CD0" w:rsidP="00835656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5B2CD0" w:rsidRPr="00DB58FD" w:rsidRDefault="005B2CD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5B2CD0" w:rsidRPr="00DB58FD" w:rsidRDefault="005B2CD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5B2CD0" w:rsidRPr="00DB58FD" w:rsidRDefault="005B2CD0" w:rsidP="0083565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5B2CD0" w:rsidRPr="00DB58FD" w:rsidTr="00835656">
        <w:tc>
          <w:tcPr>
            <w:tcW w:w="5038" w:type="dxa"/>
            <w:hideMark/>
          </w:tcPr>
          <w:p w:rsidR="005B2CD0" w:rsidRPr="00DB58FD" w:rsidRDefault="005B2CD0" w:rsidP="00835656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5B2CD0" w:rsidRDefault="005B2CD0" w:rsidP="005B2CD0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5B2CD0" w:rsidRDefault="005B2CD0" w:rsidP="005B2CD0">
            <w:pPr>
              <w:ind w:right="72"/>
              <w:jc w:val="both"/>
            </w:pPr>
            <w:r>
              <w:t>ИНН 6376061485/ КПП 637601001</w:t>
            </w:r>
          </w:p>
          <w:p w:rsidR="005B2CD0" w:rsidRDefault="005B2CD0" w:rsidP="005B2CD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5B2CD0" w:rsidRDefault="005B2CD0" w:rsidP="005B2CD0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5B2CD0" w:rsidRDefault="005B2CD0" w:rsidP="005B2CD0">
            <w:pPr>
              <w:ind w:right="72"/>
              <w:jc w:val="both"/>
            </w:pPr>
            <w:r>
              <w:t>БИК 013601205</w:t>
            </w:r>
          </w:p>
          <w:p w:rsidR="005B2CD0" w:rsidRDefault="005B2CD0" w:rsidP="005B2CD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B2CD0" w:rsidRDefault="005B2CD0" w:rsidP="005B2CD0">
            <w:pPr>
              <w:ind w:right="72"/>
              <w:jc w:val="both"/>
            </w:pPr>
            <w:r>
              <w:t>ОГРН 1056376010855</w:t>
            </w:r>
          </w:p>
          <w:p w:rsidR="005B2CD0" w:rsidRDefault="005B2CD0" w:rsidP="005B2CD0">
            <w:pPr>
              <w:ind w:right="72"/>
              <w:jc w:val="both"/>
            </w:pPr>
            <w:r>
              <w:t>ОКТМО 36628432</w:t>
            </w:r>
          </w:p>
          <w:p w:rsidR="005B2CD0" w:rsidRPr="00DB58FD" w:rsidRDefault="005B2CD0" w:rsidP="00835656">
            <w:pPr>
              <w:widowControl w:val="0"/>
              <w:autoSpaceDE w:val="0"/>
              <w:ind w:right="72"/>
              <w:jc w:val="both"/>
            </w:pPr>
          </w:p>
          <w:p w:rsidR="005B2CD0" w:rsidRDefault="005B2CD0" w:rsidP="00835656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5B2CD0" w:rsidRPr="00DB58FD" w:rsidRDefault="005B2CD0" w:rsidP="0083565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32" w:type="dxa"/>
            <w:hideMark/>
          </w:tcPr>
          <w:p w:rsidR="005B2CD0" w:rsidRDefault="005B2CD0" w:rsidP="00835656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5B2CD0" w:rsidRDefault="005B2CD0" w:rsidP="005B2CD0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5B2CD0" w:rsidRDefault="005B2CD0" w:rsidP="005B2CD0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5B2CD0" w:rsidRDefault="005B2CD0" w:rsidP="005B2CD0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5B2CD0" w:rsidRDefault="005B2CD0" w:rsidP="005B2CD0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5B2CD0" w:rsidRDefault="005B2CD0" w:rsidP="005B2CD0">
            <w:pPr>
              <w:ind w:right="72"/>
              <w:jc w:val="both"/>
            </w:pPr>
            <w:r>
              <w:t>БИК 013601205</w:t>
            </w:r>
          </w:p>
          <w:p w:rsidR="005B2CD0" w:rsidRDefault="005B2CD0" w:rsidP="005B2CD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5B2CD0" w:rsidRDefault="005B2CD0" w:rsidP="005B2CD0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5B2CD0" w:rsidRDefault="005B2CD0" w:rsidP="005B2CD0">
            <w:pPr>
              <w:ind w:right="72"/>
              <w:jc w:val="both"/>
            </w:pPr>
            <w:r>
              <w:t>ОКТМО 36628000</w:t>
            </w:r>
          </w:p>
          <w:p w:rsidR="005B2CD0" w:rsidRPr="00DB58FD" w:rsidRDefault="005B2CD0" w:rsidP="00835656">
            <w:pPr>
              <w:ind w:right="72"/>
              <w:jc w:val="both"/>
              <w:rPr>
                <w:lang w:eastAsia="ar-SA"/>
              </w:rPr>
            </w:pPr>
          </w:p>
          <w:p w:rsidR="005B2CD0" w:rsidRPr="00DB58FD" w:rsidRDefault="005B2CD0" w:rsidP="00835656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5B2CD0" w:rsidRPr="00DB58FD" w:rsidRDefault="005B2CD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5B2CD0" w:rsidRPr="00DB58FD" w:rsidTr="00835656">
        <w:tc>
          <w:tcPr>
            <w:tcW w:w="5038" w:type="dxa"/>
          </w:tcPr>
          <w:p w:rsidR="005B2CD0" w:rsidRPr="00DB58FD" w:rsidRDefault="005B2CD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5B2CD0" w:rsidRPr="00DB58FD" w:rsidRDefault="005B2CD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B2CD0" w:rsidRPr="00DB58FD" w:rsidRDefault="005B2CD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B2CD0" w:rsidRPr="00DB58FD" w:rsidRDefault="005B2CD0" w:rsidP="00835656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5B2CD0" w:rsidRPr="00DB58FD" w:rsidRDefault="005B2CD0" w:rsidP="0083565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5B2CD0" w:rsidRPr="00DB58FD" w:rsidRDefault="005B2CD0" w:rsidP="00835656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5B2CD0" w:rsidRPr="00DB58FD" w:rsidRDefault="005B2CD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5B2CD0" w:rsidRPr="00DB58FD" w:rsidRDefault="005B2CD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5B2CD0" w:rsidRPr="00DB58FD" w:rsidRDefault="005B2CD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5B2CD0" w:rsidRPr="00DB58FD" w:rsidRDefault="005B2CD0" w:rsidP="0083565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5B2CD0" w:rsidRPr="00DB58FD" w:rsidRDefault="005B2CD0" w:rsidP="005B2CD0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5B2CD0" w:rsidRDefault="005B2CD0" w:rsidP="005B2CD0"/>
    <w:p w:rsidR="001D0647" w:rsidRDefault="001D0647"/>
    <w:sectPr w:rsidR="001D0647" w:rsidSect="00E155A4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5B2CD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5B2C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5B2CD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3403" w:rsidRDefault="005B2CD0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0"/>
    <w:rsid w:val="001D0647"/>
    <w:rsid w:val="00296D40"/>
    <w:rsid w:val="004861E7"/>
    <w:rsid w:val="005B2CD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D900-4070-4608-9448-7234C4B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C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2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CD0"/>
  </w:style>
  <w:style w:type="paragraph" w:styleId="a6">
    <w:name w:val="Balloon Text"/>
    <w:basedOn w:val="a"/>
    <w:link w:val="a7"/>
    <w:uiPriority w:val="99"/>
    <w:semiHidden/>
    <w:unhideWhenUsed/>
    <w:rsid w:val="005B2C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2020-12-23T05:22:00Z</cp:lastPrinted>
  <dcterms:created xsi:type="dcterms:W3CDTF">2020-12-23T05:18:00Z</dcterms:created>
  <dcterms:modified xsi:type="dcterms:W3CDTF">2020-12-23T05:22:00Z</dcterms:modified>
</cp:coreProperties>
</file>