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3" w:rsidRDefault="00C06223" w:rsidP="00C06223">
      <w:pPr>
        <w:jc w:val="center"/>
        <w:rPr>
          <w:rFonts w:ascii="Times New Roman" w:eastAsia="Times New Roman" w:hAnsi="Times New Roman" w:cs="Times New Roman"/>
        </w:rPr>
      </w:pPr>
      <w:r w:rsidRPr="00231F94">
        <w:rPr>
          <w:rFonts w:ascii="Times New Roman" w:eastAsia="Times New Roman" w:hAnsi="Times New Roman" w:cs="Times New Roman"/>
          <w:noProof/>
          <w:sz w:val="28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-152400</wp:posOffset>
            </wp:positionV>
            <wp:extent cx="629920" cy="760095"/>
            <wp:effectExtent l="0" t="0" r="0" b="190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ab/>
      </w:r>
    </w:p>
    <w:p w:rsidR="00C06223" w:rsidRPr="00231F94" w:rsidRDefault="00C06223" w:rsidP="00C0622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ar-SA"/>
        </w:rPr>
      </w:pPr>
      <w:r w:rsidRPr="00231F94"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  <w:t>АДМИНИСТРАЦИЯ</w:t>
      </w:r>
    </w:p>
    <w:p w:rsidR="00C06223" w:rsidRPr="00231F94" w:rsidRDefault="00C06223" w:rsidP="00C06223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231F94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ХИЛКОВО</w:t>
      </w:r>
      <w:r w:rsidRPr="00231F94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МУНИЦИПАЛЬНОГО РАЙОНА КРАСНОЯРСКИЙ</w:t>
      </w:r>
    </w:p>
    <w:p w:rsidR="00C06223" w:rsidRPr="00231F94" w:rsidRDefault="00C06223" w:rsidP="00C06223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231F94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САМАРСКОЙ ОБЛАСТИ</w:t>
      </w:r>
    </w:p>
    <w:p w:rsidR="00C06223" w:rsidRPr="002C040C" w:rsidRDefault="002C040C" w:rsidP="002C040C">
      <w:pPr>
        <w:widowControl/>
        <w:autoSpaceDE/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bidi="ar-SA"/>
        </w:rPr>
        <w:t>ПРОЕКТ</w:t>
      </w:r>
    </w:p>
    <w:p w:rsidR="00C06223" w:rsidRPr="00231F94" w:rsidRDefault="00C06223" w:rsidP="00C06223">
      <w:pPr>
        <w:keepNext/>
        <w:widowControl/>
        <w:tabs>
          <w:tab w:val="num" w:pos="0"/>
          <w:tab w:val="center" w:pos="4677"/>
          <w:tab w:val="left" w:pos="7515"/>
        </w:tabs>
        <w:autoSpaceDE/>
        <w:spacing w:line="360" w:lineRule="auto"/>
        <w:ind w:left="1584" w:hanging="1584"/>
        <w:outlineLvl w:val="8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sz w:val="36"/>
          <w:szCs w:val="36"/>
          <w:lang w:bidi="ar-SA"/>
        </w:rPr>
        <w:tab/>
        <w:t xml:space="preserve">         </w:t>
      </w:r>
      <w:r w:rsidRPr="00231F94">
        <w:rPr>
          <w:rFonts w:ascii="Times New Roman" w:eastAsia="Times New Roman" w:hAnsi="Times New Roman" w:cs="Times New Roman"/>
          <w:sz w:val="36"/>
          <w:szCs w:val="36"/>
          <w:lang w:bidi="ar-SA"/>
        </w:rPr>
        <w:t>ПОСТАНОВЛЕНИЕ</w:t>
      </w:r>
      <w:r>
        <w:rPr>
          <w:rFonts w:ascii="Times New Roman" w:eastAsia="Times New Roman" w:hAnsi="Times New Roman" w:cs="Times New Roman"/>
          <w:sz w:val="36"/>
          <w:szCs w:val="36"/>
          <w:lang w:bidi="ar-SA"/>
        </w:rPr>
        <w:t xml:space="preserve">       </w:t>
      </w:r>
    </w:p>
    <w:p w:rsidR="00C06223" w:rsidRPr="00231F94" w:rsidRDefault="00C06223" w:rsidP="00C06223">
      <w:pPr>
        <w:widowControl/>
        <w:suppressAutoHyphens w:val="0"/>
        <w:autoSpaceDE/>
        <w:jc w:val="center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31F94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от </w:t>
      </w:r>
      <w:r w:rsidR="002C040C">
        <w:rPr>
          <w:rFonts w:ascii="Times New Roman" w:eastAsia="Courier New" w:hAnsi="Times New Roman" w:cs="Times New Roman"/>
          <w:sz w:val="28"/>
          <w:szCs w:val="28"/>
          <w:lang w:bidi="ar-SA"/>
        </w:rPr>
        <w:t>_________</w:t>
      </w:r>
      <w:r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года</w:t>
      </w:r>
      <w:r w:rsidRPr="00231F94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№ </w:t>
      </w:r>
      <w:r w:rsidR="002C040C">
        <w:rPr>
          <w:rFonts w:ascii="Times New Roman" w:eastAsia="Courier New" w:hAnsi="Times New Roman" w:cs="Times New Roman"/>
          <w:sz w:val="28"/>
          <w:szCs w:val="28"/>
          <w:lang w:bidi="ar-SA"/>
        </w:rPr>
        <w:t>___</w:t>
      </w:r>
    </w:p>
    <w:p w:rsidR="00C06223" w:rsidRDefault="00C06223" w:rsidP="00C06223">
      <w:pPr>
        <w:tabs>
          <w:tab w:val="center" w:pos="4677"/>
          <w:tab w:val="left" w:pos="8055"/>
        </w:tabs>
        <w:spacing w:before="120"/>
        <w:rPr>
          <w:rFonts w:ascii="Times New Roman" w:hAnsi="Times New Roman" w:cs="Times New Roman"/>
        </w:rPr>
      </w:pPr>
    </w:p>
    <w:p w:rsidR="00C06223" w:rsidRDefault="00C06223" w:rsidP="00C06223">
      <w:pPr>
        <w:jc w:val="both"/>
        <w:rPr>
          <w:rFonts w:ascii="Times New Roman" w:hAnsi="Times New Roman" w:cs="Times New Roman"/>
        </w:rPr>
      </w:pPr>
    </w:p>
    <w:p w:rsidR="00C06223" w:rsidRPr="00020772" w:rsidRDefault="00C06223" w:rsidP="00C062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772">
        <w:rPr>
          <w:rFonts w:ascii="Times New Roman" w:hAnsi="Times New Roman"/>
          <w:b/>
          <w:bCs/>
          <w:sz w:val="28"/>
          <w:szCs w:val="28"/>
        </w:rPr>
        <w:t xml:space="preserve">«Об утверждении Методики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Хилково</w:t>
      </w:r>
      <w:proofErr w:type="spellEnd"/>
      <w:r w:rsidRPr="0002077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области»</w:t>
      </w: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pStyle w:val="a5"/>
        <w:widowControl/>
        <w:shd w:val="clear" w:color="auto" w:fill="FFFFFF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</w:p>
    <w:p w:rsidR="00C06223" w:rsidRPr="00020772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       </w:t>
      </w:r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В соответствии с требованием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10.01.2002 № 7-ФЗ «Об охране окружающей среды», Уставом сельского поселения </w:t>
      </w:r>
      <w:proofErr w:type="spellStart"/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поселения, администрация сельского поселения </w:t>
      </w:r>
      <w:proofErr w:type="spellStart"/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ПОСТАНОВЛЯЕТ:</w:t>
      </w:r>
    </w:p>
    <w:p w:rsidR="00C06223" w:rsidRPr="00020772" w:rsidRDefault="00C06223" w:rsidP="00C06223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 Утвердить </w:t>
      </w:r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Методику п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о определению восстановительной </w:t>
      </w:r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согласно приложению.</w:t>
      </w:r>
    </w:p>
    <w:p w:rsidR="00C06223" w:rsidRPr="00020772" w:rsidRDefault="00C06223" w:rsidP="00C06223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сноярский Самарской области от 20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.1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.2018 года № </w:t>
      </w:r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80</w:t>
      </w: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«Об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</w:t>
      </w:r>
      <w:proofErr w:type="spellStart"/>
      <w:r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Хилково</w:t>
      </w:r>
      <w:proofErr w:type="spellEnd"/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области».</w:t>
      </w:r>
    </w:p>
    <w:p w:rsidR="00C06223" w:rsidRPr="00020772" w:rsidRDefault="00C06223" w:rsidP="00C06223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«Интернет».</w:t>
      </w:r>
    </w:p>
    <w:p w:rsidR="00C06223" w:rsidRPr="00020772" w:rsidRDefault="00C06223" w:rsidP="00C06223">
      <w:pPr>
        <w:pStyle w:val="a5"/>
        <w:widowControl/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3. Контроль за исполнением настоящего постановления оставляю за собой.</w:t>
      </w: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ind w:left="794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  <w:r w:rsidRPr="00020772"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  <w:t>4. Настоящее постановление вступает в силу со дня его официального опубликования.</w:t>
      </w: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Pr="003706B9" w:rsidRDefault="00C06223" w:rsidP="00C06223">
      <w:pPr>
        <w:widowControl/>
        <w:shd w:val="clear" w:color="auto" w:fill="FFFFFF"/>
        <w:autoSpaceDE/>
        <w:spacing w:line="317" w:lineRule="exact"/>
        <w:ind w:right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Хилково</w:t>
      </w:r>
      <w:proofErr w:type="spellEnd"/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 </w:t>
      </w:r>
    </w:p>
    <w:p w:rsidR="00C06223" w:rsidRPr="003706B9" w:rsidRDefault="00C06223" w:rsidP="00C06223">
      <w:pPr>
        <w:widowControl/>
        <w:shd w:val="clear" w:color="auto" w:fill="FFFFFF"/>
        <w:autoSpaceDE/>
        <w:spacing w:line="317" w:lineRule="exact"/>
        <w:ind w:right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муниципального района Красноярский</w:t>
      </w:r>
    </w:p>
    <w:p w:rsidR="00C06223" w:rsidRPr="003706B9" w:rsidRDefault="00C06223" w:rsidP="00C06223">
      <w:pPr>
        <w:widowControl/>
        <w:shd w:val="clear" w:color="auto" w:fill="FFFFFF"/>
        <w:autoSpaceDE/>
        <w:spacing w:line="317" w:lineRule="exact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Самарской области</w:t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  <w:t xml:space="preserve">      </w:t>
      </w:r>
      <w:proofErr w:type="gramStart"/>
      <w:r w:rsidRPr="00370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О.Ю.Долгов</w:t>
      </w:r>
      <w:proofErr w:type="spellEnd"/>
      <w:proofErr w:type="gramEnd"/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Pr="00020772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Pr="00020772" w:rsidRDefault="00C06223" w:rsidP="00C06223">
      <w:pPr>
        <w:pStyle w:val="a5"/>
        <w:widowControl/>
        <w:shd w:val="clear" w:color="auto" w:fill="FFFFFF"/>
        <w:spacing w:line="360" w:lineRule="auto"/>
        <w:jc w:val="both"/>
        <w:rPr>
          <w:rFonts w:ascii="Times New Roman" w:eastAsia="serif" w:hAnsi="Times New Roman" w:cs="Times New Roman"/>
          <w:color w:val="22272F"/>
          <w:sz w:val="28"/>
          <w:szCs w:val="28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jc w:val="both"/>
        <w:rPr>
          <w:rFonts w:ascii="Times New Roman" w:eastAsia="serif" w:hAnsi="Times New Roman" w:cs="Times New Roman"/>
          <w:color w:val="22272F"/>
          <w:shd w:val="clear" w:color="auto" w:fill="FFFFFF"/>
        </w:rPr>
      </w:pPr>
    </w:p>
    <w:p w:rsidR="00C06223" w:rsidRDefault="00C06223" w:rsidP="00C06223">
      <w:pPr>
        <w:pStyle w:val="a5"/>
        <w:widowControl/>
        <w:shd w:val="clear" w:color="auto" w:fill="FFFFFF"/>
        <w:jc w:val="right"/>
        <w:rPr>
          <w:rFonts w:ascii="Times New Roman" w:eastAsia="serif" w:hAnsi="Times New Roman" w:cs="Times New Roman"/>
          <w:color w:val="22272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lastRenderedPageBreak/>
        <w:t>Утверждено</w:t>
      </w:r>
    </w:p>
    <w:p w:rsidR="00C06223" w:rsidRDefault="00C06223" w:rsidP="00C06223">
      <w:pPr>
        <w:pStyle w:val="a5"/>
        <w:widowControl/>
        <w:shd w:val="clear" w:color="auto" w:fill="FFFFFF"/>
        <w:wordWrap w:val="0"/>
        <w:jc w:val="right"/>
        <w:rPr>
          <w:rFonts w:ascii="Times New Roman" w:eastAsia="serif" w:hAnsi="Times New Roman" w:cs="Times New Roman"/>
          <w:color w:val="22272F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постановлением администрации</w:t>
      </w:r>
    </w:p>
    <w:p w:rsidR="00C06223" w:rsidRDefault="00C06223" w:rsidP="00C06223">
      <w:pPr>
        <w:pStyle w:val="a5"/>
        <w:widowControl/>
        <w:shd w:val="clear" w:color="auto" w:fill="FFFFFF"/>
        <w:wordWrap w:val="0"/>
        <w:jc w:val="right"/>
        <w:rPr>
          <w:rFonts w:ascii="Times New Roman" w:eastAsia="serif" w:hAnsi="Times New Roman"/>
          <w:color w:val="22272F"/>
          <w:shd w:val="clear" w:color="auto" w:fill="FFFFF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 xml:space="preserve"> </w:t>
      </w:r>
      <w:r>
        <w:rPr>
          <w:rFonts w:ascii="Times New Roman" w:eastAsia="serif" w:hAnsi="Times New Roman"/>
          <w:color w:val="2227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eastAsia="serif" w:hAnsi="Times New Roman"/>
          <w:color w:val="22272F"/>
          <w:shd w:val="clear" w:color="auto" w:fill="FFFFFF"/>
        </w:rPr>
        <w:t>Хилково</w:t>
      </w:r>
      <w:proofErr w:type="spellEnd"/>
      <w:r>
        <w:rPr>
          <w:rFonts w:ascii="Times New Roman" w:eastAsia="serif" w:hAnsi="Times New Roman"/>
          <w:color w:val="22272F"/>
          <w:shd w:val="clear" w:color="auto" w:fill="FFFFFF"/>
        </w:rPr>
        <w:t xml:space="preserve"> </w:t>
      </w:r>
    </w:p>
    <w:p w:rsidR="00C06223" w:rsidRDefault="00C06223" w:rsidP="00C06223">
      <w:pPr>
        <w:pStyle w:val="a5"/>
        <w:widowControl/>
        <w:shd w:val="clear" w:color="auto" w:fill="FFFFFF"/>
        <w:jc w:val="right"/>
        <w:rPr>
          <w:rFonts w:ascii="Times New Roman" w:eastAsia="serif" w:hAnsi="Times New Roman"/>
          <w:color w:val="22272F"/>
          <w:shd w:val="clear" w:color="auto" w:fill="FFFFFF"/>
        </w:rPr>
      </w:pPr>
      <w:r>
        <w:rPr>
          <w:rFonts w:ascii="Times New Roman" w:eastAsia="serif" w:hAnsi="Times New Roman"/>
          <w:color w:val="22272F"/>
          <w:shd w:val="clear" w:color="auto" w:fill="FFFFFF"/>
        </w:rPr>
        <w:t>муниципального района Красноярский</w:t>
      </w:r>
    </w:p>
    <w:p w:rsidR="00C06223" w:rsidRDefault="00C06223" w:rsidP="00C06223">
      <w:pPr>
        <w:pStyle w:val="a5"/>
        <w:widowControl/>
        <w:shd w:val="clear" w:color="auto" w:fill="FFFFFF"/>
        <w:jc w:val="right"/>
        <w:rPr>
          <w:rFonts w:ascii="Times New Roman" w:eastAsia="serif" w:hAnsi="Times New Roman" w:cs="Times New Roman"/>
          <w:color w:val="22272F"/>
          <w:shd w:val="clear" w:color="auto" w:fill="FFFFFF"/>
        </w:rPr>
      </w:pPr>
      <w:r>
        <w:rPr>
          <w:rFonts w:ascii="Times New Roman" w:eastAsia="serif" w:hAnsi="Times New Roman"/>
          <w:color w:val="22272F"/>
          <w:shd w:val="clear" w:color="auto" w:fill="FFFFFF"/>
        </w:rPr>
        <w:t xml:space="preserve"> Самарской области</w:t>
      </w:r>
    </w:p>
    <w:p w:rsidR="00C06223" w:rsidRDefault="002C040C" w:rsidP="00C06223">
      <w:pPr>
        <w:pStyle w:val="a5"/>
        <w:widowControl/>
        <w:shd w:val="clear" w:color="auto" w:fill="FFFFFF"/>
        <w:jc w:val="right"/>
        <w:rPr>
          <w:rFonts w:ascii="Times New Roman" w:eastAsia="serif" w:hAnsi="Times New Roman" w:cs="Times New Roman"/>
          <w:color w:val="22272F"/>
        </w:rPr>
      </w:pPr>
      <w:r>
        <w:rPr>
          <w:rFonts w:ascii="Times New Roman" w:eastAsia="serif" w:hAnsi="Times New Roman" w:cs="Times New Roman"/>
          <w:color w:val="22272F"/>
          <w:shd w:val="clear" w:color="auto" w:fill="FFFFFF"/>
        </w:rPr>
        <w:t>от ____________ года № ___</w:t>
      </w:r>
      <w:bookmarkStart w:id="0" w:name="_GoBack"/>
      <w:bookmarkEnd w:id="0"/>
    </w:p>
    <w:p w:rsidR="00C06223" w:rsidRDefault="00C06223" w:rsidP="00C06223">
      <w:pPr>
        <w:jc w:val="center"/>
        <w:rPr>
          <w:rFonts w:ascii="Times New Roman" w:eastAsia="Times New Roman CYR" w:hAnsi="Times New Roman" w:cs="Times New Roman"/>
          <w:b/>
          <w:bCs/>
        </w:rPr>
      </w:pPr>
    </w:p>
    <w:p w:rsidR="00C06223" w:rsidRDefault="00C06223" w:rsidP="00C06223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06223" w:rsidRDefault="00C06223" w:rsidP="00C06223">
      <w:pPr>
        <w:ind w:firstLine="559"/>
        <w:jc w:val="center"/>
        <w:rPr>
          <w:rFonts w:ascii="Times New Roman" w:eastAsia="Times New Roman CYR" w:hAnsi="Times New Roman"/>
          <w:b/>
          <w:bCs/>
        </w:rPr>
      </w:pPr>
      <w:r>
        <w:rPr>
          <w:rFonts w:ascii="Times New Roman" w:eastAsia="Times New Roman CYR" w:hAnsi="Times New Roman"/>
          <w:b/>
          <w:bCs/>
        </w:rPr>
        <w:t xml:space="preserve">Методика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proofErr w:type="spellStart"/>
      <w:r>
        <w:rPr>
          <w:rFonts w:ascii="Times New Roman" w:eastAsia="Times New Roman CYR" w:hAnsi="Times New Roman"/>
          <w:b/>
          <w:bCs/>
        </w:rPr>
        <w:t>Хилково</w:t>
      </w:r>
      <w:proofErr w:type="spellEnd"/>
      <w:r>
        <w:rPr>
          <w:rFonts w:ascii="Times New Roman" w:eastAsia="Times New Roman CYR" w:hAnsi="Times New Roman"/>
          <w:b/>
          <w:bCs/>
        </w:rPr>
        <w:t xml:space="preserve"> муниципального района Красноярский Самарской области</w:t>
      </w:r>
    </w:p>
    <w:p w:rsidR="00C06223" w:rsidRDefault="00C06223" w:rsidP="00C06223">
      <w:pPr>
        <w:ind w:firstLine="559"/>
        <w:jc w:val="both"/>
        <w:rPr>
          <w:rFonts w:ascii="Times New Roman" w:eastAsia="Times New Roman CYR" w:hAnsi="Times New Roman"/>
          <w:b/>
          <w:bCs/>
        </w:rPr>
      </w:pPr>
    </w:p>
    <w:p w:rsidR="00C06223" w:rsidRDefault="00C06223" w:rsidP="00C06223">
      <w:pPr>
        <w:pStyle w:val="ConsPlusNormal"/>
        <w:ind w:firstLine="56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Настоящая Методика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Методика) предназначена для исчисления размера платежей, подлежащих внесению в бюджет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при уничтожении (вырубке, сносе) и (или) повреждении зеленых насаждений и компенсационного озеленения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не распространяется на городские леса, земли лесного фонда, территории особо охраняемых природных территорий.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Расчет размера платежей при уничтожении (вырубке, сносе) и (или) повреждении зеленых насаждений и компенсационного озеленения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настоящей Методики используется следующая классификация видов зеленых насаждений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насаждения – совокупность древесных, кустарниковых травянистых растений на определенной территории;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– растения, имеющие четко выраженный деревянистый ствол (главный (осевой) одревесневший стебель дерева), диаметром не менее 5 см на высоте 1,3 м, за исключением саженцев;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кустарники –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травяной покров – газон, естественная травяная растительность;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заросли – деревья и (или) кустарники самосевного и порослевого происхождения, образующие единый сомкнутый полог;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защитные насаждения – зеленые насаждения, предназначенная для обеспечения защиты земель или водных объектов от негативного воздействия,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компенсационная стоимость зеленых насаждений – стоимостная оценка конкретного вида зеленых насаждений, устанавливаемая для учета ценности вида при уничтожении, складывается из интегрального показателя сметной стоимости посадки, стоимости посадочного материала и ухода, обеспечивающего полное восстановление декоративных и экологических качеств;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компенсационное озеленение – воспроизводство зеленых насаждений взамен </w:t>
      </w:r>
      <w:r>
        <w:rPr>
          <w:rFonts w:ascii="Times New Roman" w:eastAsia="Times New Roman" w:hAnsi="Times New Roman" w:cs="Times New Roman"/>
        </w:rPr>
        <w:lastRenderedPageBreak/>
        <w:t>утраченных.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Компенсационное озеленение не проводится в случаях: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вырубки (сносе) зеленых насаждений, производимой в соответствии с проектом реконструкции озелененной территории, утвержденным в порядке, установленном муниципальным нормативным правовым актом;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вырубки (сносе) аварийных деревьев;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вынужденной вырубке (сносе) зеленых насаждений при ликвидации аварий и последствий чрезвычайных ситуаций природного и техногенного характера;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санитарных рубках и рубках ухода, проводимых в установленном порядке;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вырубки (сносе) зеленых насаждений, производимой на земельных участках, предоставленных для индивидуального жилищного строительства, ведения личного подсобного хозяйства, садоводства и огородничества, сельскохозяйственного использования, организации лесопитомников и питомников плодовых, ягодных, декоративных культур;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вырубки (сносе) зеленых насаждений, производимой на земельных участках, предоставленных для организации мест погребения, а также при содержании мест погребения; 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вырубки (сносе) зеленых насаждений и растительности, попадающей в охранные технические зоны, зоны минимальных расстояний и иные предусмотренные действующим законодательством зоны инженерных коммуникаций и сетей, с целью недопущения их повреждения,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вырубки (сносе) зеленых насаждений и растительности в соответствии с проектом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культуртехнической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мелиорации,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границах земельного участка, предоставленного на каком-либо праве, 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вырубке (сносе) зарослей либо единичных самосевных деревьев или кустарников вне границ населенных пунктов.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Расчет компенсационной стоимости зеленых насаждений осуществляет уполномоченный орган на основании Методики.</w:t>
      </w:r>
    </w:p>
    <w:p w:rsidR="00C06223" w:rsidRDefault="00C06223" w:rsidP="00C0622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77"/>
      <w:bookmarkEnd w:id="1"/>
    </w:p>
    <w:p w:rsidR="00C06223" w:rsidRDefault="00C06223" w:rsidP="00C0622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Расчет компенсационной стоимости при уничтожении</w:t>
      </w:r>
    </w:p>
    <w:p w:rsidR="00C06223" w:rsidRDefault="00C06223" w:rsidP="00C062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(вырубке, сносе) и (или) повреждении зеленых насаждений</w:t>
      </w:r>
    </w:p>
    <w:p w:rsidR="00C06223" w:rsidRDefault="00C06223" w:rsidP="00C06223">
      <w:pPr>
        <w:pStyle w:val="ConsPlusNormal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Компенсационная стоимость зеленых насаждений определяется по формуле: </w:t>
      </w:r>
    </w:p>
    <w:p w:rsidR="00C06223" w:rsidRDefault="00C06223" w:rsidP="00C06223">
      <w:pPr>
        <w:pStyle w:val="ConsPlusNormal"/>
        <w:ind w:firstLineChars="99" w:firstLine="2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Сбц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Ксост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Кд) 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компенсационная стоимость зеленых насаждений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</w:t>
      </w:r>
      <w:proofErr w:type="spellEnd"/>
      <w:r>
        <w:rPr>
          <w:rFonts w:ascii="Times New Roman" w:hAnsi="Times New Roman" w:cs="Times New Roman"/>
          <w:sz w:val="24"/>
          <w:szCs w:val="24"/>
        </w:rPr>
        <w:t>-базовая цена зеленых насаждений (основных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поправки на текущее состояние сносимых зеленых насаждений;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– коэффициент поправки, учитывающий возраст сносимого дерева;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зеленых насаждений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 вида, подлежащих уничтожению. 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незаконном сносе (уничтожении) компенсационная стоимость зеленых насаждений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умножается на коэффициент пять. 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Базовая цена </w:t>
      </w:r>
      <w:r>
        <w:rPr>
          <w:rFonts w:ascii="Times New Roman" w:hAnsi="Times New Roman" w:cs="Times New Roman"/>
          <w:b/>
          <w:sz w:val="24"/>
          <w:szCs w:val="24"/>
        </w:rPr>
        <w:t>дерева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породы по формуле:</w:t>
      </w:r>
    </w:p>
    <w:p w:rsidR="00C06223" w:rsidRDefault="00C06223" w:rsidP="00C06223">
      <w:pPr>
        <w:pStyle w:val="ConsPlusNormal"/>
        <w:ind w:firstLineChars="99" w:firstLine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+ Су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базовая цена одного дерева на текущий период, руб.;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стоимость посадки одного дерева с комом с учетом стоимости посадочного материала (дерева),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зеленых насаждений;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одним деревом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затрат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восстановление деревьев на текущий период; 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ценности дерева.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Базовая цена одного </w:t>
      </w:r>
      <w:r>
        <w:rPr>
          <w:rFonts w:ascii="Times New Roman" w:hAnsi="Times New Roman" w:cs="Times New Roman"/>
          <w:b/>
          <w:sz w:val="24"/>
          <w:szCs w:val="24"/>
        </w:rPr>
        <w:t>кустарника</w:t>
      </w:r>
      <w:r>
        <w:rPr>
          <w:rFonts w:ascii="Times New Roman" w:hAnsi="Times New Roman" w:cs="Times New Roman"/>
          <w:sz w:val="24"/>
          <w:szCs w:val="24"/>
        </w:rPr>
        <w:t>, 1 погонного метра живой изгороди определяется по формуле:</w:t>
      </w:r>
    </w:p>
    <w:p w:rsidR="00C06223" w:rsidRDefault="00C06223" w:rsidP="00C06223">
      <w:pPr>
        <w:pStyle w:val="ConsPlusNormal"/>
        <w:ind w:firstLineChars="99" w:firstLine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Су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базовая цена одного кустарника, 1 погонного метра живой изгороди на текущий период, руб.;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одним кустарником, 1 погонного метра живой изгороди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Базовая цена </w:t>
      </w:r>
      <w:r>
        <w:rPr>
          <w:rFonts w:ascii="Times New Roman" w:hAnsi="Times New Roman" w:cs="Times New Roman"/>
          <w:b/>
          <w:sz w:val="24"/>
          <w:szCs w:val="24"/>
        </w:rPr>
        <w:t>травяного покрова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C06223" w:rsidRDefault="00C06223" w:rsidP="00C06223">
      <w:pPr>
        <w:pStyle w:val="ConsPlusNormal"/>
        <w:ind w:firstLineChars="99" w:firstLine="2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Су, где: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Сбцт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базовая цена 1 квадратного метра травяного покрова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сметная стоимость устройства 1 квадратного метра газона с учетом стоимости посадочного материала на текущий период,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1 квадратным метром газона на текущий период, руб. 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Породы различных деревьев и кустарников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своей ценности (декоративным свойствам) объединяются в группы.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Выделяются 4 группы:</w:t>
      </w:r>
    </w:p>
    <w:p w:rsidR="00C06223" w:rsidRDefault="00C06223" w:rsidP="00C06223">
      <w:pPr>
        <w:pStyle w:val="ConsPlusNormal"/>
        <w:numPr>
          <w:ilvl w:val="0"/>
          <w:numId w:val="2"/>
        </w:numPr>
        <w:ind w:left="0"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хвойные деревья и кустарники;</w:t>
      </w:r>
    </w:p>
    <w:p w:rsidR="00C06223" w:rsidRDefault="00C06223" w:rsidP="00C06223">
      <w:pPr>
        <w:pStyle w:val="ConsPlusNormal"/>
        <w:numPr>
          <w:ilvl w:val="0"/>
          <w:numId w:val="2"/>
        </w:numPr>
        <w:ind w:left="0"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группа лиственных деревьев и кустарников (особо ценные);</w:t>
      </w:r>
    </w:p>
    <w:p w:rsidR="00C06223" w:rsidRDefault="00C06223" w:rsidP="00C06223">
      <w:pPr>
        <w:pStyle w:val="ConsPlusNormal"/>
        <w:numPr>
          <w:ilvl w:val="0"/>
          <w:numId w:val="2"/>
        </w:numPr>
        <w:ind w:left="0"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группа лиственных деревьев и кустарников (ценные);</w:t>
      </w:r>
    </w:p>
    <w:p w:rsidR="00C06223" w:rsidRDefault="00C06223" w:rsidP="00C06223">
      <w:pPr>
        <w:pStyle w:val="ConsPlusNormal"/>
        <w:ind w:firstLineChars="99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3-я группа лиственных деревьев и кустарников (малоценные).</w:t>
      </w:r>
    </w:p>
    <w:p w:rsidR="00C06223" w:rsidRDefault="00C06223" w:rsidP="00C06223">
      <w:pPr>
        <w:pStyle w:val="ConsPlusNormal"/>
        <w:spacing w:line="36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14"/>
        <w:gridCol w:w="208"/>
        <w:gridCol w:w="2204"/>
        <w:gridCol w:w="52"/>
        <w:gridCol w:w="2304"/>
      </w:tblGrid>
      <w:tr w:rsidR="00C06223" w:rsidTr="005B31EF">
        <w:tc>
          <w:tcPr>
            <w:tcW w:w="2256" w:type="dxa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214" w:type="dxa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412" w:type="dxa"/>
            <w:gridSpan w:val="2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56" w:type="dxa"/>
            <w:gridSpan w:val="2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C06223" w:rsidTr="005B31EF">
        <w:tc>
          <w:tcPr>
            <w:tcW w:w="225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</w:t>
            </w:r>
          </w:p>
        </w:tc>
        <w:tc>
          <w:tcPr>
            <w:tcW w:w="6982" w:type="dxa"/>
            <w:gridSpan w:val="5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деревья и кустарники</w:t>
            </w:r>
          </w:p>
        </w:tc>
      </w:tr>
      <w:tr w:rsidR="00C06223" w:rsidTr="005B31EF">
        <w:tc>
          <w:tcPr>
            <w:tcW w:w="2256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2256" w:type="dxa"/>
            <w:gridSpan w:val="2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</w:tc>
        <w:tc>
          <w:tcPr>
            <w:tcW w:w="2304" w:type="dxa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</w:tc>
      </w:tr>
      <w:tr w:rsidR="00C06223" w:rsidTr="005B31EF">
        <w:tc>
          <w:tcPr>
            <w:tcW w:w="2256" w:type="dxa"/>
          </w:tcPr>
          <w:p w:rsidR="00C06223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кедр, лиственница, пихта, сосна, туя, можжевельник, тис, другие хвойные породы</w:t>
            </w:r>
          </w:p>
        </w:tc>
        <w:tc>
          <w:tcPr>
            <w:tcW w:w="2422" w:type="dxa"/>
            <w:gridSpan w:val="2"/>
          </w:tcPr>
          <w:p w:rsidR="00C06223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Акация белая, бархат амурский, вяз, дуб, ива (белая, вавилонская, остролистная, русская), каштан конский, клен (кроме клена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ясенелистного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липа, лох, орех, ясень; кустарники: самшит, бирючина (особенно пестролистные формы),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рододендрон, широколиственные породы</w:t>
            </w:r>
          </w:p>
        </w:tc>
        <w:tc>
          <w:tcPr>
            <w:tcW w:w="2256" w:type="dxa"/>
            <w:gridSpan w:val="2"/>
          </w:tcPr>
          <w:p w:rsidR="00C06223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Береза, боярышник (штамбовая форма), плодовые декоративные (яблони, сливы, груши, абрикос и др.), рябина, тополь (белый, берлинский, канадский, черный, пирамидальный), черемуха; кустарники: спирея, боярышник, снежноягодник, пузыреплодник</w:t>
            </w:r>
          </w:p>
        </w:tc>
        <w:tc>
          <w:tcPr>
            <w:tcW w:w="2304" w:type="dxa"/>
          </w:tcPr>
          <w:p w:rsidR="00C06223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(кроме указанных в 1-й группе),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ольха, осина, тополь (бальзамический); кустарники: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крушина, бересклет, дикорастущие виды кустарниковых ив, другие лиственные породы</w:t>
            </w:r>
          </w:p>
        </w:tc>
      </w:tr>
    </w:tbl>
    <w:p w:rsidR="00C06223" w:rsidRDefault="00C06223" w:rsidP="00C0622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перечисленные породы деревьев и кустарников приравниваются к соответствующей группе по схожим признакам.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расчете компенсационной стоимости зеленые насаждения подсчитываются поштучно.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Если дерево имеет несколько стволов с диаметром не менее 6 см на высоте 1,3 м от шейки корня, то в расчетах учитывается каждый ствол отдельно.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ясенелистный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считать одним деревом независимо от количества стволов, растущих из одного корня. 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Количество вырубаемых кустарников в живой изгороди определяется из расчета 5 кустарников на каждый погонный метр при двухрядной изгороди, 3 кустарника - при однорядной изгороди.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расчета 20 деревьев на каждые 100 кв. м.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Стоимость работ по посадке зеленых насаждений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годовым уходом (Су), рассчитывается согласно локальному ресурсному сметному расчету (сметной стоимости посадки одного саженца кустарника). За нормативы исчисления компенсационной стоимости зеленых насаждений и объектов озеленения на территории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Хилково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базовые цены зеленых насаждений с применением Территориальных сметных нормативов по Самарской области, с учетом НДС и индексами перехода в текущие цены. Стоимость неучтенных материалов определяется среднестатистической ценой по мониторинговым исследованиям.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Сметная стоимость годового ухода за зелеными насаждениями (Су) определяется на основании Нормативно-производственного регламента содержания озелененных территорий, утвержденного приказом Госстроя РФ от 10.12.1999 № 145. В случае проведения работ по уходу более года до восстановления зеленых насаждений необходимо предусмотреть индекс-дефлятор.</w:t>
      </w:r>
    </w:p>
    <w:p w:rsidR="00C06223" w:rsidRDefault="00C06223" w:rsidP="00C06223">
      <w:pPr>
        <w:autoSpaceDN w:val="0"/>
        <w:ind w:firstLine="5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 Значения коэффициентов: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2.9.1. Коэффициент поправки на текущее состояние зеленых насаждений, деревьев, кустарников (</w:t>
      </w:r>
      <w:proofErr w:type="spellStart"/>
      <w:r>
        <w:rPr>
          <w:rFonts w:ascii="Times New Roman" w:hAnsi="Times New Roman" w:cs="Times New Roman"/>
          <w:b/>
        </w:rPr>
        <w:t>Ксост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2127"/>
        <w:gridCol w:w="2409"/>
      </w:tblGrid>
      <w:tr w:rsidR="00C06223" w:rsidTr="005B31EF">
        <w:trPr>
          <w:trHeight w:val="9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Текущее состояние дерева (кустарника)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tabs>
                <w:tab w:val="left" w:pos="405"/>
                <w:tab w:val="center" w:pos="930"/>
              </w:tabs>
              <w:autoSpaceDN w:val="0"/>
              <w:spacing w:line="276" w:lineRule="auto"/>
              <w:ind w:lef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C06223" w:rsidRDefault="00C06223" w:rsidP="005B31EF">
            <w:pPr>
              <w:tabs>
                <w:tab w:val="left" w:pos="405"/>
                <w:tab w:val="center" w:pos="930"/>
              </w:tabs>
              <w:autoSpaceDN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хорошее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пухонесущие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06223" w:rsidRDefault="00C06223" w:rsidP="005B31EF">
            <w:pPr>
              <w:autoSpaceDN w:val="0"/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тополя</w:t>
            </w:r>
          </w:p>
        </w:tc>
      </w:tr>
      <w:tr w:rsidR="00C06223" w:rsidTr="005B31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коэффициент поправки на текущее состояние зеленых насаждений, деревьев, кустарников,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Ксост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6223" w:rsidRDefault="00C06223" w:rsidP="005B31EF">
            <w:pPr>
              <w:autoSpaceDN w:val="0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</w:tbl>
    <w:p w:rsidR="00C06223" w:rsidRDefault="00C06223" w:rsidP="00C06223">
      <w:pPr>
        <w:autoSpaceDN w:val="0"/>
        <w:ind w:left="-284" w:firstLine="540"/>
        <w:jc w:val="both"/>
        <w:rPr>
          <w:rFonts w:ascii="Times New Roman" w:eastAsia="Times New Roman" w:hAnsi="Times New Roman" w:cs="Times New Roman"/>
        </w:rPr>
      </w:pP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</w:t>
      </w:r>
      <w:r>
        <w:rPr>
          <w:rFonts w:ascii="Times New Roman" w:eastAsia="Times New Roman" w:hAnsi="Times New Roman" w:cs="Times New Roman"/>
        </w:rPr>
        <w:lastRenderedPageBreak/>
        <w:t>лиственных деревьев и применяется (</w:t>
      </w:r>
      <w:proofErr w:type="spellStart"/>
      <w:r>
        <w:rPr>
          <w:rFonts w:ascii="Times New Roman" w:eastAsia="Times New Roman" w:hAnsi="Times New Roman" w:cs="Times New Roman"/>
        </w:rPr>
        <w:t>Ксост</w:t>
      </w:r>
      <w:proofErr w:type="spellEnd"/>
      <w:r>
        <w:rPr>
          <w:rFonts w:ascii="Times New Roman" w:eastAsia="Times New Roman" w:hAnsi="Times New Roman" w:cs="Times New Roman"/>
        </w:rPr>
        <w:t>) = 1,0.</w:t>
      </w:r>
    </w:p>
    <w:p w:rsidR="00C06223" w:rsidRDefault="00C06223" w:rsidP="00C06223">
      <w:pPr>
        <w:autoSpaceDN w:val="0"/>
        <w:ind w:firstLine="561"/>
        <w:jc w:val="both"/>
        <w:rPr>
          <w:rFonts w:ascii="Times New Roman" w:eastAsia="Times New Roman" w:hAnsi="Times New Roman" w:cs="Times New Roman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Коэффициент поправки, учитывающий возраст сносимого дерева и требуемое количество лет восстановительного периода (</w:t>
      </w:r>
      <w:r>
        <w:rPr>
          <w:rFonts w:ascii="Times New Roman" w:hAnsi="Times New Roman" w:cs="Times New Roman"/>
          <w:b/>
          <w:sz w:val="24"/>
          <w:szCs w:val="24"/>
        </w:rPr>
        <w:t>Кд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507"/>
        <w:gridCol w:w="1732"/>
        <w:gridCol w:w="1756"/>
        <w:gridCol w:w="1756"/>
      </w:tblGrid>
      <w:tr w:rsidR="00C06223" w:rsidTr="005B31E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дерева</w:t>
            </w:r>
          </w:p>
        </w:tc>
      </w:tr>
      <w:tr w:rsidR="00C06223" w:rsidTr="005B31EF"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223" w:rsidRDefault="00C06223" w:rsidP="005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см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40,1 - 80 см</w:t>
            </w:r>
          </w:p>
        </w:tc>
      </w:tr>
      <w:tr w:rsidR="00C06223" w:rsidTr="005B31EF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восстановительного периода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осина, береза, вяз м/л,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боярышник, рябина, черемуха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 тополь, ива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C06223" w:rsidTr="005B31E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поправки,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3" w:rsidRDefault="00C06223" w:rsidP="005B31E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C06223" w:rsidRDefault="00C06223" w:rsidP="00C062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Коэффициент количества лет восстановительного периода (периода, в течение которого диаметр саженца достигнет размера, соответствующего диаметру снесенного дерева)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Квп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967"/>
      </w:tblGrid>
      <w:tr w:rsidR="00C06223" w:rsidRPr="00CD75AB" w:rsidTr="005B31EF">
        <w:tc>
          <w:tcPr>
            <w:tcW w:w="453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Вид зеленых насаждений</w:t>
            </w:r>
          </w:p>
        </w:tc>
        <w:tc>
          <w:tcPr>
            <w:tcW w:w="496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количества лет восстановительного периода, </w:t>
            </w:r>
            <w:proofErr w:type="spellStart"/>
            <w:r w:rsidRPr="00CD75AB">
              <w:rPr>
                <w:rFonts w:ascii="Times New Roman" w:hAnsi="Times New Roman" w:cs="Times New Roman"/>
                <w:b/>
                <w:sz w:val="24"/>
                <w:szCs w:val="24"/>
              </w:rPr>
              <w:t>Квп</w:t>
            </w:r>
            <w:proofErr w:type="spellEnd"/>
          </w:p>
        </w:tc>
      </w:tr>
      <w:tr w:rsidR="00C06223" w:rsidRPr="00CD75AB" w:rsidTr="005B31EF">
        <w:tc>
          <w:tcPr>
            <w:tcW w:w="453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496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223" w:rsidRPr="00CD75AB" w:rsidTr="005B31EF">
        <w:tc>
          <w:tcPr>
            <w:tcW w:w="453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496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223" w:rsidRPr="00CD75AB" w:rsidTr="005B31EF">
        <w:tc>
          <w:tcPr>
            <w:tcW w:w="453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Газоны и цветники</w:t>
            </w:r>
          </w:p>
        </w:tc>
        <w:tc>
          <w:tcPr>
            <w:tcW w:w="4967" w:type="dxa"/>
            <w:shd w:val="clear" w:color="auto" w:fill="auto"/>
          </w:tcPr>
          <w:p w:rsidR="00C06223" w:rsidRPr="00CD75AB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6223" w:rsidRDefault="00C06223" w:rsidP="00C062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Коэффициента ценности в зависимости от группы ценности дерева и диаметра ствола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06223" w:rsidRDefault="00C06223" w:rsidP="00C06223">
      <w:pPr>
        <w:pStyle w:val="ConsPlusNormal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4055"/>
        <w:gridCol w:w="2835"/>
        <w:gridCol w:w="1928"/>
      </w:tblGrid>
      <w:tr w:rsidR="00C06223" w:rsidTr="005B31EF">
        <w:tc>
          <w:tcPr>
            <w:tcW w:w="686" w:type="dxa"/>
          </w:tcPr>
          <w:p w:rsidR="00C06223" w:rsidRDefault="00C06223" w:rsidP="005B31EF">
            <w:pPr>
              <w:pStyle w:val="ConsPlusNormal"/>
              <w:ind w:right="-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№№п/п</w:t>
            </w:r>
          </w:p>
        </w:tc>
        <w:tc>
          <w:tcPr>
            <w:tcW w:w="4055" w:type="dxa"/>
          </w:tcPr>
          <w:p w:rsidR="00C06223" w:rsidRDefault="00C06223" w:rsidP="005B31EF">
            <w:pPr>
              <w:pStyle w:val="ConsPlusNormal"/>
              <w:ind w:leftChars="-49"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растительности озелененных территорий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Chars="-49"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Диаметры,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Chars="-49"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ценности дерева,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</w:t>
            </w:r>
            <w:proofErr w:type="spellEnd"/>
          </w:p>
        </w:tc>
      </w:tr>
      <w:tr w:rsidR="00C06223" w:rsidTr="005B31EF">
        <w:tc>
          <w:tcPr>
            <w:tcW w:w="9504" w:type="dxa"/>
            <w:gridSpan w:val="4"/>
          </w:tcPr>
          <w:p w:rsidR="00C06223" w:rsidRDefault="00C06223" w:rsidP="005B31EF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</w:tc>
      </w:tr>
      <w:tr w:rsidR="00C06223" w:rsidTr="005B31EF">
        <w:tc>
          <w:tcPr>
            <w:tcW w:w="68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хвойные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и более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06223" w:rsidTr="005B31EF">
        <w:tc>
          <w:tcPr>
            <w:tcW w:w="9504" w:type="dxa"/>
            <w:gridSpan w:val="4"/>
          </w:tcPr>
          <w:p w:rsidR="00C06223" w:rsidRDefault="00C06223" w:rsidP="005B31EF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породы</w:t>
            </w:r>
          </w:p>
        </w:tc>
      </w:tr>
      <w:tr w:rsidR="00C06223" w:rsidTr="005B31EF">
        <w:tc>
          <w:tcPr>
            <w:tcW w:w="68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1-й группы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и более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06223" w:rsidTr="005B31EF">
        <w:tc>
          <w:tcPr>
            <w:tcW w:w="68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5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2-й группы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и более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  <w:vMerge w:val="restart"/>
          </w:tcPr>
          <w:p w:rsidR="00C06223" w:rsidRDefault="00C06223" w:rsidP="005B31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</w:t>
            </w: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6,0 - 12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223" w:rsidTr="005B31EF">
        <w:tc>
          <w:tcPr>
            <w:tcW w:w="686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vMerge/>
          </w:tcPr>
          <w:p w:rsidR="00C06223" w:rsidRDefault="00C06223" w:rsidP="005B31EF">
            <w:pPr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 и более см</w:t>
            </w:r>
          </w:p>
        </w:tc>
        <w:tc>
          <w:tcPr>
            <w:tcW w:w="1928" w:type="dxa"/>
          </w:tcPr>
          <w:p w:rsidR="00C06223" w:rsidRDefault="00C06223" w:rsidP="005B31E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C06223" w:rsidRDefault="00C06223" w:rsidP="00C06223">
      <w:pPr>
        <w:pStyle w:val="ConsPlusNormal"/>
        <w:spacing w:line="36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8"/>
      <w:bookmarkEnd w:id="3"/>
      <w:r>
        <w:rPr>
          <w:rFonts w:ascii="Times New Roman" w:hAnsi="Times New Roman" w:cs="Times New Roman"/>
          <w:sz w:val="24"/>
          <w:szCs w:val="24"/>
        </w:rPr>
        <w:t>2.9.6.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C06223" w:rsidRDefault="00C06223" w:rsidP="00C0622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зеленого насаждения (ФЕР 81-02-47-2001, часть № 47, утвержденные Приказом Министерства строительства и жилищно-коммунального хозяйства Российской Федерации от 26.12.2019 № 876/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06223" w:rsidRDefault="00C06223" w:rsidP="00C06223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rPr>
          <w:rFonts w:ascii="Times New Roman" w:eastAsia="Times New Roman CYR" w:hAnsi="Times New Roman" w:cs="Times New Roman"/>
        </w:rPr>
      </w:pPr>
    </w:p>
    <w:p w:rsidR="00C06223" w:rsidRDefault="00C06223" w:rsidP="00C06223">
      <w:pPr>
        <w:jc w:val="both"/>
        <w:rPr>
          <w:rFonts w:ascii="Times New Roman" w:hAnsi="Times New Roman" w:cs="Times New Roman"/>
        </w:rPr>
      </w:pPr>
    </w:p>
    <w:p w:rsidR="00B04ED2" w:rsidRDefault="00B04ED2"/>
    <w:sectPr w:rsidR="00B04ED2" w:rsidSect="00C06223">
      <w:footerReference w:type="default" r:id="rId8"/>
      <w:pgSz w:w="11906" w:h="16800"/>
      <w:pgMar w:top="1134" w:right="850" w:bottom="1134" w:left="1701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88" w:rsidRDefault="00605E88">
      <w:r>
        <w:separator/>
      </w:r>
    </w:p>
  </w:endnote>
  <w:endnote w:type="continuationSeparator" w:id="0">
    <w:p w:rsidR="00605E88" w:rsidRDefault="0060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AB" w:rsidRDefault="00605E88">
    <w:pPr>
      <w:pStyle w:val="a3"/>
      <w:jc w:val="right"/>
    </w:pPr>
  </w:p>
  <w:p w:rsidR="00CD75AB" w:rsidRDefault="00605E8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88" w:rsidRDefault="00605E88">
      <w:r>
        <w:separator/>
      </w:r>
    </w:p>
  </w:footnote>
  <w:footnote w:type="continuationSeparator" w:id="0">
    <w:p w:rsidR="00605E88" w:rsidRDefault="0060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BD3D"/>
    <w:multiLevelType w:val="singleLevel"/>
    <w:tmpl w:val="1456BD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65BB1116"/>
    <w:multiLevelType w:val="multilevel"/>
    <w:tmpl w:val="65BB1116"/>
    <w:lvl w:ilvl="0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6" w:hanging="360"/>
      </w:pPr>
    </w:lvl>
    <w:lvl w:ilvl="2">
      <w:start w:val="1"/>
      <w:numFmt w:val="lowerRoman"/>
      <w:lvlText w:val="%3."/>
      <w:lvlJc w:val="right"/>
      <w:pPr>
        <w:ind w:left="2056" w:hanging="180"/>
      </w:pPr>
    </w:lvl>
    <w:lvl w:ilvl="3">
      <w:start w:val="1"/>
      <w:numFmt w:val="decimal"/>
      <w:lvlText w:val="%4."/>
      <w:lvlJc w:val="left"/>
      <w:pPr>
        <w:ind w:left="2776" w:hanging="360"/>
      </w:pPr>
    </w:lvl>
    <w:lvl w:ilvl="4">
      <w:start w:val="1"/>
      <w:numFmt w:val="lowerLetter"/>
      <w:lvlText w:val="%5."/>
      <w:lvlJc w:val="left"/>
      <w:pPr>
        <w:ind w:left="3496" w:hanging="360"/>
      </w:pPr>
    </w:lvl>
    <w:lvl w:ilvl="5">
      <w:start w:val="1"/>
      <w:numFmt w:val="lowerRoman"/>
      <w:lvlText w:val="%6."/>
      <w:lvlJc w:val="right"/>
      <w:pPr>
        <w:ind w:left="4216" w:hanging="180"/>
      </w:pPr>
    </w:lvl>
    <w:lvl w:ilvl="6">
      <w:start w:val="1"/>
      <w:numFmt w:val="decimal"/>
      <w:lvlText w:val="%7."/>
      <w:lvlJc w:val="left"/>
      <w:pPr>
        <w:ind w:left="4936" w:hanging="360"/>
      </w:pPr>
    </w:lvl>
    <w:lvl w:ilvl="7">
      <w:start w:val="1"/>
      <w:numFmt w:val="lowerLetter"/>
      <w:lvlText w:val="%8."/>
      <w:lvlJc w:val="left"/>
      <w:pPr>
        <w:ind w:left="5656" w:hanging="360"/>
      </w:pPr>
    </w:lvl>
    <w:lvl w:ilvl="8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3"/>
    <w:rsid w:val="002C040C"/>
    <w:rsid w:val="00605E88"/>
    <w:rsid w:val="00B04ED2"/>
    <w:rsid w:val="00C0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C72E-C53E-4779-8A29-60FE7219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6223"/>
    <w:pPr>
      <w:suppressLineNumbers/>
      <w:tabs>
        <w:tab w:val="center" w:pos="5150"/>
        <w:tab w:val="right" w:pos="1030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6223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C06223"/>
  </w:style>
  <w:style w:type="paragraph" w:customStyle="1" w:styleId="ConsPlusNormal">
    <w:name w:val="ConsPlusNormal"/>
    <w:uiPriority w:val="99"/>
    <w:rsid w:val="00C062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2324</Words>
  <Characters>13248</Characters>
  <Application>Microsoft Office Word</Application>
  <DocSecurity>0</DocSecurity>
  <Lines>110</Lines>
  <Paragraphs>31</Paragraphs>
  <ScaleCrop>false</ScaleCrop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2024-05-23T03:10:00Z</dcterms:created>
  <dcterms:modified xsi:type="dcterms:W3CDTF">2024-05-23T05:10:00Z</dcterms:modified>
</cp:coreProperties>
</file>