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802A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1720C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720C2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802A43">
        <w:rPr>
          <w:i w:val="0"/>
          <w:szCs w:val="28"/>
        </w:rPr>
        <w:t xml:space="preserve"> 29</w:t>
      </w:r>
      <w:r w:rsidR="006D5620">
        <w:rPr>
          <w:i w:val="0"/>
          <w:szCs w:val="28"/>
        </w:rPr>
        <w:t xml:space="preserve">  января</w:t>
      </w:r>
      <w:r w:rsidRPr="00BE7125">
        <w:rPr>
          <w:i w:val="0"/>
          <w:szCs w:val="28"/>
        </w:rPr>
        <w:t xml:space="preserve"> 201</w:t>
      </w:r>
      <w:r w:rsidR="006D5620">
        <w:rPr>
          <w:i w:val="0"/>
          <w:szCs w:val="28"/>
        </w:rPr>
        <w:t>9</w:t>
      </w:r>
      <w:r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802A43">
        <w:rPr>
          <w:i w:val="0"/>
          <w:szCs w:val="28"/>
        </w:rPr>
        <w:t>3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1720C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17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20C2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1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1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1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1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1720C2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1720C2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20C2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1720C2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756D7B">
        <w:rPr>
          <w:rFonts w:ascii="Times New Roman" w:hAnsi="Times New Roman" w:cs="Times New Roman"/>
          <w:sz w:val="28"/>
          <w:szCs w:val="28"/>
        </w:rPr>
        <w:t>201</w:t>
      </w:r>
      <w:r w:rsidR="006D5620">
        <w:rPr>
          <w:rFonts w:ascii="Times New Roman" w:hAnsi="Times New Roman" w:cs="Times New Roman"/>
          <w:sz w:val="28"/>
          <w:szCs w:val="28"/>
        </w:rPr>
        <w:t>9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1720C2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 w:rsidR="001720C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И.П.Антропов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25D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5D" w:rsidRDefault="0099725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5D" w:rsidRDefault="0099725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5D" w:rsidRDefault="0099725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5D" w:rsidRDefault="0099725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5D" w:rsidRDefault="0099725D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</w:rPr>
        <w:lastRenderedPageBreak/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1720C2">
        <w:rPr>
          <w:sz w:val="28"/>
          <w:szCs w:val="28"/>
        </w:rPr>
        <w:t xml:space="preserve">поселения </w:t>
      </w:r>
      <w:proofErr w:type="gramStart"/>
      <w:r w:rsidR="001720C2">
        <w:rPr>
          <w:sz w:val="28"/>
          <w:szCs w:val="28"/>
        </w:rPr>
        <w:t>Большая</w:t>
      </w:r>
      <w:proofErr w:type="gramEnd"/>
      <w:r w:rsidR="001720C2">
        <w:rPr>
          <w:sz w:val="28"/>
          <w:szCs w:val="28"/>
        </w:rPr>
        <w:t xml:space="preserve"> </w:t>
      </w:r>
      <w:proofErr w:type="spellStart"/>
      <w:r w:rsidR="001720C2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802A43">
        <w:rPr>
          <w:sz w:val="28"/>
          <w:szCs w:val="28"/>
        </w:rPr>
        <w:t>29</w:t>
      </w:r>
      <w:r w:rsidR="00BE7125">
        <w:rPr>
          <w:sz w:val="28"/>
          <w:szCs w:val="28"/>
        </w:rPr>
        <w:t>.0</w:t>
      </w:r>
      <w:r w:rsidR="006D5620">
        <w:rPr>
          <w:sz w:val="28"/>
          <w:szCs w:val="28"/>
        </w:rPr>
        <w:t>1</w:t>
      </w:r>
      <w:r w:rsidR="00BE7125">
        <w:rPr>
          <w:sz w:val="28"/>
          <w:szCs w:val="28"/>
        </w:rPr>
        <w:t>.201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802A43">
        <w:rPr>
          <w:sz w:val="28"/>
          <w:szCs w:val="28"/>
        </w:rPr>
        <w:t>3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720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72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0C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1720C2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1666-68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5869DD">
        <w:rPr>
          <w:sz w:val="28"/>
          <w:szCs w:val="28"/>
        </w:rPr>
        <w:t xml:space="preserve">сельского поселения  </w:t>
      </w:r>
      <w:proofErr w:type="gramStart"/>
      <w:r w:rsidR="005869DD">
        <w:rPr>
          <w:sz w:val="28"/>
          <w:szCs w:val="28"/>
        </w:rPr>
        <w:t>Большая</w:t>
      </w:r>
      <w:proofErr w:type="gramEnd"/>
      <w:r w:rsidR="005869DD">
        <w:rPr>
          <w:sz w:val="28"/>
          <w:szCs w:val="28"/>
        </w:rPr>
        <w:t xml:space="preserve"> </w:t>
      </w:r>
      <w:proofErr w:type="spellStart"/>
      <w:r w:rsidR="005869DD">
        <w:rPr>
          <w:sz w:val="28"/>
          <w:szCs w:val="28"/>
        </w:rPr>
        <w:t>Раковка</w:t>
      </w:r>
      <w:proofErr w:type="spellEnd"/>
      <w:r w:rsidR="005869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802A43">
        <w:rPr>
          <w:sz w:val="28"/>
          <w:szCs w:val="28"/>
        </w:rPr>
        <w:t>29</w:t>
      </w:r>
      <w:r w:rsidR="00BE7125">
        <w:rPr>
          <w:sz w:val="28"/>
          <w:szCs w:val="28"/>
        </w:rPr>
        <w:t>.0</w:t>
      </w:r>
      <w:r w:rsidR="006D5620">
        <w:rPr>
          <w:sz w:val="28"/>
          <w:szCs w:val="28"/>
        </w:rPr>
        <w:t>1</w:t>
      </w:r>
      <w:r w:rsidR="00BE7125">
        <w:rPr>
          <w:sz w:val="28"/>
          <w:szCs w:val="28"/>
        </w:rPr>
        <w:t>.201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802A43">
        <w:rPr>
          <w:sz w:val="28"/>
          <w:szCs w:val="28"/>
        </w:rPr>
        <w:t>3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5869D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8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DD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2081,82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1333,75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5271,25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D4319A">
        <w:rPr>
          <w:sz w:val="28"/>
          <w:szCs w:val="28"/>
        </w:rPr>
        <w:t xml:space="preserve"> сельского поселения </w:t>
      </w:r>
      <w:proofErr w:type="gramStart"/>
      <w:r w:rsidR="00D4319A">
        <w:rPr>
          <w:sz w:val="28"/>
          <w:szCs w:val="28"/>
        </w:rPr>
        <w:t>Большая</w:t>
      </w:r>
      <w:proofErr w:type="gramEnd"/>
      <w:r w:rsidR="00D4319A">
        <w:rPr>
          <w:sz w:val="28"/>
          <w:szCs w:val="28"/>
        </w:rPr>
        <w:t xml:space="preserve"> </w:t>
      </w:r>
      <w:proofErr w:type="spellStart"/>
      <w:r w:rsidR="00D4319A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802A43">
        <w:rPr>
          <w:sz w:val="28"/>
          <w:szCs w:val="28"/>
        </w:rPr>
        <w:t>29</w:t>
      </w:r>
      <w:r w:rsidR="00BE7125">
        <w:rPr>
          <w:sz w:val="28"/>
          <w:szCs w:val="28"/>
        </w:rPr>
        <w:t>.0</w:t>
      </w:r>
      <w:r w:rsidR="006D5620">
        <w:rPr>
          <w:sz w:val="28"/>
          <w:szCs w:val="28"/>
        </w:rPr>
        <w:t>1</w:t>
      </w:r>
      <w:r w:rsidR="00BE7125">
        <w:rPr>
          <w:sz w:val="28"/>
          <w:szCs w:val="28"/>
        </w:rPr>
        <w:t>.201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802A43">
        <w:rPr>
          <w:sz w:val="28"/>
          <w:szCs w:val="28"/>
        </w:rPr>
        <w:t>3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4319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4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9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D4319A">
        <w:rPr>
          <w:sz w:val="28"/>
          <w:szCs w:val="28"/>
        </w:rPr>
        <w:t xml:space="preserve">сельского поселения </w:t>
      </w:r>
      <w:proofErr w:type="gramStart"/>
      <w:r w:rsidR="00D4319A">
        <w:rPr>
          <w:sz w:val="28"/>
          <w:szCs w:val="28"/>
        </w:rPr>
        <w:t>Большая</w:t>
      </w:r>
      <w:proofErr w:type="gramEnd"/>
      <w:r w:rsidR="00D4319A">
        <w:rPr>
          <w:sz w:val="28"/>
          <w:szCs w:val="28"/>
        </w:rPr>
        <w:t xml:space="preserve"> </w:t>
      </w:r>
      <w:proofErr w:type="spellStart"/>
      <w:r w:rsidR="00D4319A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E7125">
        <w:rPr>
          <w:sz w:val="28"/>
          <w:szCs w:val="28"/>
        </w:rPr>
        <w:t xml:space="preserve">от </w:t>
      </w:r>
      <w:r w:rsidR="00802A43">
        <w:rPr>
          <w:sz w:val="28"/>
          <w:szCs w:val="28"/>
        </w:rPr>
        <w:t>29</w:t>
      </w:r>
      <w:r w:rsidR="00BE7125">
        <w:rPr>
          <w:sz w:val="28"/>
          <w:szCs w:val="28"/>
        </w:rPr>
        <w:t>.0</w:t>
      </w:r>
      <w:r w:rsidR="006148FB">
        <w:rPr>
          <w:sz w:val="28"/>
          <w:szCs w:val="28"/>
        </w:rPr>
        <w:t>1</w:t>
      </w:r>
      <w:r w:rsidR="00BE7125">
        <w:rPr>
          <w:sz w:val="28"/>
          <w:szCs w:val="28"/>
        </w:rPr>
        <w:t>.201</w:t>
      </w:r>
      <w:r w:rsidR="006148FB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802A43">
        <w:rPr>
          <w:sz w:val="28"/>
          <w:szCs w:val="28"/>
        </w:rPr>
        <w:t>3</w:t>
      </w:r>
      <w:bookmarkStart w:id="0" w:name="_GoBack"/>
      <w:bookmarkEnd w:id="0"/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9A">
        <w:rPr>
          <w:rFonts w:ascii="Times New Roman" w:hAnsi="Times New Roman" w:cs="Times New Roman"/>
          <w:sz w:val="28"/>
          <w:szCs w:val="28"/>
        </w:rPr>
        <w:t xml:space="preserve">сельского  поселения Большая </w:t>
      </w:r>
      <w:proofErr w:type="spellStart"/>
      <w:r w:rsidR="00D4319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 Постановления Администрации </w:t>
      </w:r>
      <w:r w:rsidR="00D4319A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</w:t>
      </w:r>
      <w:proofErr w:type="spellStart"/>
      <w:r w:rsidR="00D4319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 «Об определении стоимости услуг, предоставляемых согласно гарантированному перечню  услуг по погребению на территории  сельского  пос</w:t>
      </w:r>
      <w:r w:rsidR="00D4319A">
        <w:rPr>
          <w:rFonts w:ascii="Times New Roman" w:hAnsi="Times New Roman" w:cs="Times New Roman"/>
          <w:sz w:val="28"/>
          <w:szCs w:val="28"/>
        </w:rPr>
        <w:t xml:space="preserve">еления Большая </w:t>
      </w:r>
      <w:proofErr w:type="spellStart"/>
      <w:r w:rsidR="00D4319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согласовали:</w:t>
      </w:r>
    </w:p>
    <w:p w:rsidR="00B6202A" w:rsidRDefault="00B6202A" w:rsidP="00B6202A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319A">
        <w:rPr>
          <w:rFonts w:ascii="Times New Roman" w:hAnsi="Times New Roman" w:cs="Times New Roman"/>
          <w:sz w:val="28"/>
          <w:szCs w:val="28"/>
        </w:rPr>
        <w:t xml:space="preserve"> сельского поселения  Большая </w:t>
      </w:r>
      <w:proofErr w:type="spellStart"/>
      <w:r w:rsidR="00D4319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D4319A">
        <w:rPr>
          <w:rFonts w:ascii="Times New Roman" w:hAnsi="Times New Roman" w:cs="Times New Roman"/>
          <w:sz w:val="28"/>
          <w:szCs w:val="28"/>
        </w:rPr>
        <w:t xml:space="preserve">                           И.П.Антропов</w:t>
      </w:r>
    </w:p>
    <w:p w:rsidR="00B6202A" w:rsidRDefault="00B6202A" w:rsidP="00B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учреждение-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А.В. Зайцева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Pr="004D305B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sectPr w:rsidR="001D780B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363DE"/>
    <w:rsid w:val="00074831"/>
    <w:rsid w:val="000D4866"/>
    <w:rsid w:val="000F5AC4"/>
    <w:rsid w:val="00112532"/>
    <w:rsid w:val="0016517F"/>
    <w:rsid w:val="001720C2"/>
    <w:rsid w:val="0018204A"/>
    <w:rsid w:val="001D780B"/>
    <w:rsid w:val="00216E24"/>
    <w:rsid w:val="00251AE8"/>
    <w:rsid w:val="00261713"/>
    <w:rsid w:val="00286074"/>
    <w:rsid w:val="003A7E04"/>
    <w:rsid w:val="003D40E5"/>
    <w:rsid w:val="003E3B40"/>
    <w:rsid w:val="004B75DB"/>
    <w:rsid w:val="004D305B"/>
    <w:rsid w:val="004D466C"/>
    <w:rsid w:val="00514FF0"/>
    <w:rsid w:val="005468BA"/>
    <w:rsid w:val="005869DD"/>
    <w:rsid w:val="006148FB"/>
    <w:rsid w:val="00642B79"/>
    <w:rsid w:val="0064651F"/>
    <w:rsid w:val="006836D0"/>
    <w:rsid w:val="006D5620"/>
    <w:rsid w:val="007014EE"/>
    <w:rsid w:val="007141BA"/>
    <w:rsid w:val="0072425D"/>
    <w:rsid w:val="00756D7B"/>
    <w:rsid w:val="007F3DBB"/>
    <w:rsid w:val="00802A43"/>
    <w:rsid w:val="00965DBB"/>
    <w:rsid w:val="00967982"/>
    <w:rsid w:val="0099725D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7125"/>
    <w:rsid w:val="00C43F13"/>
    <w:rsid w:val="00C46AE5"/>
    <w:rsid w:val="00D3538C"/>
    <w:rsid w:val="00D4319A"/>
    <w:rsid w:val="00D51238"/>
    <w:rsid w:val="00D65E0C"/>
    <w:rsid w:val="00D714FF"/>
    <w:rsid w:val="00DA3DC5"/>
    <w:rsid w:val="00E60895"/>
    <w:rsid w:val="00E84690"/>
    <w:rsid w:val="00EE2179"/>
    <w:rsid w:val="00F30691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8BD3-7E40-4991-B8E2-DF5F344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4</cp:revision>
  <cp:lastPrinted>2019-01-28T11:37:00Z</cp:lastPrinted>
  <dcterms:created xsi:type="dcterms:W3CDTF">2019-01-23T10:18:00Z</dcterms:created>
  <dcterms:modified xsi:type="dcterms:W3CDTF">2019-01-28T11:40:00Z</dcterms:modified>
</cp:coreProperties>
</file>