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B3" w:rsidRPr="002F205E" w:rsidRDefault="006116B3" w:rsidP="002F20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16B3" w:rsidRPr="002F205E" w:rsidRDefault="006116B3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2F20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-248285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2E0" w:rsidRPr="002F205E" w:rsidRDefault="00C8114D" w:rsidP="002F205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-247650</wp:posOffset>
                </wp:positionV>
                <wp:extent cx="1485900" cy="428625"/>
                <wp:effectExtent l="381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2E0" w:rsidRPr="00AE6426" w:rsidRDefault="000862E0" w:rsidP="000862E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-19.5pt;width:117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5f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" filled="f" stroked="f">
                <v:textbox>
                  <w:txbxContent>
                    <w:p w:rsidR="000862E0" w:rsidRPr="00AE6426" w:rsidRDefault="000862E0" w:rsidP="000862E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2E0" w:rsidRPr="002F205E">
        <w:rPr>
          <w:rFonts w:ascii="Times New Roman" w:hAnsi="Times New Roman" w:cs="Times New Roman"/>
          <w:b/>
          <w:noProof/>
          <w:sz w:val="32"/>
          <w:szCs w:val="32"/>
        </w:rPr>
        <w:t>СОБРАНИЕ ПРЕДСТАВИТЕЛЕЙ</w:t>
      </w:r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 xml:space="preserve">СЕОЬСКОГО ПОСЕЛЕНИЯ </w:t>
      </w:r>
      <w:r w:rsidR="008F7E87">
        <w:rPr>
          <w:rFonts w:ascii="Times New Roman" w:hAnsi="Times New Roman" w:cs="Times New Roman"/>
          <w:b/>
          <w:sz w:val="32"/>
          <w:szCs w:val="32"/>
        </w:rPr>
        <w:t>БОЛЬШАЯ КАМЕНКА</w:t>
      </w:r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0862E0" w:rsidRPr="002F205E" w:rsidRDefault="000862E0" w:rsidP="002F205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2F205E">
        <w:rPr>
          <w:rFonts w:ascii="Times New Roman" w:hAnsi="Times New Roman" w:cs="Times New Roman"/>
          <w:szCs w:val="28"/>
        </w:rPr>
        <w:t>ЧЕТВЕРТОГО СОЗЫВА</w:t>
      </w:r>
    </w:p>
    <w:p w:rsidR="000862E0" w:rsidRPr="002F205E" w:rsidRDefault="000862E0" w:rsidP="002F205E">
      <w:pPr>
        <w:pStyle w:val="9"/>
        <w:spacing w:before="0"/>
        <w:rPr>
          <w:b w:val="0"/>
          <w:noProof w:val="0"/>
          <w:sz w:val="40"/>
          <w:szCs w:val="40"/>
        </w:rPr>
      </w:pPr>
      <w:r w:rsidRPr="002F205E">
        <w:rPr>
          <w:b w:val="0"/>
          <w:noProof w:val="0"/>
          <w:sz w:val="40"/>
          <w:szCs w:val="40"/>
        </w:rPr>
        <w:t xml:space="preserve">РЕШЕНИЕ </w:t>
      </w:r>
    </w:p>
    <w:p w:rsidR="000862E0" w:rsidRPr="002F205E" w:rsidRDefault="00A27CDB" w:rsidP="002F205E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12</w:t>
      </w:r>
      <w:bookmarkStart w:id="0" w:name="_GoBack"/>
      <w:bookmarkEnd w:id="0"/>
      <w:r w:rsidR="00351935">
        <w:rPr>
          <w:b w:val="0"/>
          <w:i w:val="0"/>
        </w:rPr>
        <w:t xml:space="preserve"> мая 2022</w:t>
      </w:r>
      <w:r>
        <w:rPr>
          <w:b w:val="0"/>
          <w:i w:val="0"/>
        </w:rPr>
        <w:t xml:space="preserve"> года № 22</w:t>
      </w: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5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благоустройства на территории сельского поселения </w:t>
      </w:r>
      <w:r w:rsidR="008F7E87">
        <w:rPr>
          <w:rFonts w:ascii="Times New Roman" w:hAnsi="Times New Roman" w:cs="Times New Roman"/>
          <w:b/>
          <w:sz w:val="24"/>
          <w:szCs w:val="24"/>
        </w:rPr>
        <w:t>Большая Каменка</w:t>
      </w:r>
      <w:r w:rsidRPr="002F205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Красноярский Самарской области</w:t>
      </w: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8F7E87">
        <w:rPr>
          <w:rFonts w:ascii="Times New Roman" w:hAnsi="Times New Roman" w:cs="Times New Roman"/>
          <w:sz w:val="24"/>
          <w:szCs w:val="24"/>
        </w:rPr>
        <w:t>Большая Каменка</w:t>
      </w:r>
      <w:r w:rsidRPr="002F205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«О внесение изменений в Правила благоустройства на территории сельского поселения </w:t>
      </w:r>
      <w:r w:rsidR="008F7E87">
        <w:rPr>
          <w:rFonts w:ascii="Times New Roman" w:hAnsi="Times New Roman" w:cs="Times New Roman"/>
          <w:sz w:val="24"/>
          <w:szCs w:val="24"/>
        </w:rPr>
        <w:t>Большая Каменка</w:t>
      </w:r>
      <w:r w:rsidRPr="002F205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</w:t>
      </w:r>
      <w:r w:rsidR="008F7E87">
        <w:rPr>
          <w:rFonts w:ascii="Times New Roman" w:hAnsi="Times New Roman" w:cs="Times New Roman"/>
          <w:sz w:val="24"/>
          <w:szCs w:val="24"/>
        </w:rPr>
        <w:t>й Самарской области» от 04 апреля 2022</w:t>
      </w:r>
      <w:r w:rsidRPr="002F205E">
        <w:rPr>
          <w:rFonts w:ascii="Times New Roman" w:hAnsi="Times New Roman" w:cs="Times New Roman"/>
          <w:sz w:val="24"/>
          <w:szCs w:val="24"/>
        </w:rPr>
        <w:t xml:space="preserve"> года, Собрание представителей сельского поселения </w:t>
      </w:r>
      <w:r w:rsidR="008F7E87">
        <w:rPr>
          <w:rFonts w:ascii="Times New Roman" w:hAnsi="Times New Roman" w:cs="Times New Roman"/>
          <w:sz w:val="24"/>
          <w:szCs w:val="24"/>
        </w:rPr>
        <w:t>Большая Каменка</w:t>
      </w:r>
      <w:r w:rsidRPr="002F205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РЕШИЛО:</w:t>
      </w: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1. Внести в Правила благоустройства на территории сельского поселения </w:t>
      </w:r>
      <w:r w:rsidR="008F7E87"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gramStart"/>
      <w:r w:rsidR="008F7E87">
        <w:rPr>
          <w:rFonts w:ascii="Times New Roman" w:hAnsi="Times New Roman" w:cs="Times New Roman"/>
          <w:sz w:val="24"/>
          <w:szCs w:val="24"/>
        </w:rPr>
        <w:t>Каменка</w:t>
      </w:r>
      <w:r w:rsidRPr="002F205E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района Красноярский Самарской области, утвержденные решением Собрания представителей сельского поселения </w:t>
      </w:r>
      <w:r w:rsidR="008F7E87">
        <w:rPr>
          <w:rFonts w:ascii="Times New Roman" w:hAnsi="Times New Roman" w:cs="Times New Roman"/>
          <w:sz w:val="24"/>
          <w:szCs w:val="24"/>
        </w:rPr>
        <w:t>Большая Каменка</w:t>
      </w:r>
      <w:r w:rsidRPr="002F205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от </w:t>
      </w:r>
      <w:r w:rsidR="008F7E87">
        <w:rPr>
          <w:rFonts w:ascii="Times New Roman" w:hAnsi="Times New Roman" w:cs="Times New Roman"/>
          <w:sz w:val="24"/>
          <w:szCs w:val="24"/>
        </w:rPr>
        <w:t>17 июня</w:t>
      </w:r>
      <w:r w:rsidR="002F205E" w:rsidRPr="002F205E">
        <w:rPr>
          <w:rFonts w:ascii="Times New Roman" w:hAnsi="Times New Roman" w:cs="Times New Roman"/>
          <w:sz w:val="24"/>
          <w:szCs w:val="24"/>
        </w:rPr>
        <w:t xml:space="preserve"> 2020г.</w:t>
      </w:r>
      <w:r w:rsidRPr="002F205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F7E87">
        <w:rPr>
          <w:rFonts w:ascii="Times New Roman" w:hAnsi="Times New Roman" w:cs="Times New Roman"/>
          <w:sz w:val="24"/>
          <w:szCs w:val="24"/>
        </w:rPr>
        <w:t>26</w:t>
      </w:r>
      <w:r w:rsidRPr="002F205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F205E" w:rsidRPr="002F205E" w:rsidRDefault="002F205E" w:rsidP="002F2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1.1. Раздел II «Порядок содержания объектов благоустройства» дополнить Главой 15 следующего содержания: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«Глава 15. Требования к размещению и содержанию нестационарных торговых объектов (далее – НТО).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15.1. Не допускается размещение НТО: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</w:t>
      </w:r>
      <w:r w:rsidRPr="002F205E">
        <w:rPr>
          <w:rFonts w:ascii="Times New Roman" w:hAnsi="Times New Roman" w:cs="Times New Roman"/>
          <w:sz w:val="24"/>
          <w:szCs w:val="24"/>
        </w:rPr>
        <w:lastRenderedPageBreak/>
        <w:t>транспорта (за исключением сблокированных с павильоном), на расстоянии менее 5 метров от окон зданий и витрин стационарных торговых объектов;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пешеходных тротуарах на расстоянии менее 2,5 метров, от края тротуара: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 охранных зонах подземных и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наземных инженерных сетей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и коммуникаций в случаях, предусмотренных федеральным законодательством, под железнодорожным путепроводами и автомобильными эстакадами;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ближе 10 метров от павильонов остановок городского пассажирского транспорта, 5 метров – от наземных и подземных пешеходных переходов, 25 метров – от вентиляционных шахт, 5 метров – от ствола дерева, 1.5 метра – от внешней границы кроны кустарника;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05E">
        <w:rPr>
          <w:rFonts w:ascii="Times New Roman" w:hAnsi="Times New Roman" w:cs="Times New Roman"/>
          <w:sz w:val="24"/>
          <w:szCs w:val="24"/>
        </w:rPr>
        <w:t>на нерегулируемых пешеходных переходов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и подходах к ним.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Расстояние от края проезжей части до НТО рекомендуется устанавливать не менее 2 метров.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При определении расстояния от НТО до объектов в обязательном порядке нужно учитывать требования законодательства по пожарной безопасности, касающиеся противопожарных расстояний (разрывов), в том числе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После проведения работ по установке НТО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собственником НТО.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После проведения работ по демонтажу НТО собственником производится восстановления нарушенных объектов благоустройства.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15. 2. Требования к удаленности НТО от зданий и сооружений.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1) Минимальное расстояние от НТО до глухих фасадов зданий – 3 метра.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2) Минимальное расстояние от НТО до фасадов с окнами жилых помещений и витринами коммерческих предприятий – 5 метров.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3) Расстояние от НТО до входных групп – не менее 5 метров по прямой.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4) Минимальное расстояние от НТО до вентиляционных шахт – 25 метров.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15.3. Требования к размещению НТО относительно элементов улично-дорожной сети.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1) Не допускается размещать НТО в границах существующих пешеходных переходов и подходах к ним.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2) На всех перекрестах минимальное расстояние от НТО до пересечения проезжих частей – 10 метров.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3) Минимальное расстояние от НТО до границы проезжей части – 2 метра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4) На нерегулируемых перекрестках, в местах примыкания второстепенных и внутренних проездов к дорогам, на нерегулируемых пешеходных переходах не допускается размещать НТО в пределах треугольников видимости.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5) Запрещено размещать НТО ближе 5 метров от наземных переходов.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13.1.4. Требования к внешнему виду НТО.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Внешний вид НТО должен соответствовать внешнему архитектурному облику сложившейся застройки сельского поселения </w:t>
      </w:r>
      <w:r w:rsidR="008F7E87">
        <w:rPr>
          <w:rFonts w:ascii="Times New Roman" w:hAnsi="Times New Roman" w:cs="Times New Roman"/>
          <w:sz w:val="24"/>
          <w:szCs w:val="24"/>
        </w:rPr>
        <w:t>Большая Каменка</w:t>
      </w:r>
      <w:r w:rsidRPr="002F205E">
        <w:rPr>
          <w:rFonts w:ascii="Times New Roman" w:hAnsi="Times New Roman" w:cs="Times New Roman"/>
          <w:sz w:val="24"/>
          <w:szCs w:val="24"/>
        </w:rPr>
        <w:t xml:space="preserve">. НТО рекомендуется предусматривать модульного типа, с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применением  унифицированных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</w:t>
      </w:r>
      <w:r w:rsidRPr="002F205E">
        <w:rPr>
          <w:rFonts w:ascii="Times New Roman" w:hAnsi="Times New Roman" w:cs="Times New Roman"/>
          <w:sz w:val="24"/>
          <w:szCs w:val="24"/>
        </w:rPr>
        <w:lastRenderedPageBreak/>
        <w:t>объектов и увеличения площади, установки на любой поверхности без использования заглубленного фундамента. Возможно использование данной системы НТО для организации торговых галерей.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Для изготовления (модернизации) НТО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</w:t>
      </w:r>
      <w:r>
        <w:rPr>
          <w:rFonts w:ascii="Times New Roman" w:hAnsi="Times New Roman" w:cs="Times New Roman"/>
          <w:sz w:val="24"/>
          <w:szCs w:val="24"/>
        </w:rPr>
        <w:t>ровли. Защитные устройства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роль</w:t>
      </w:r>
      <w:r w:rsidRPr="002F205E">
        <w:rPr>
          <w:rFonts w:ascii="Times New Roman" w:hAnsi="Times New Roman" w:cs="Times New Roman"/>
          <w:sz w:val="24"/>
          <w:szCs w:val="24"/>
        </w:rPr>
        <w:t>ставни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>) должны быть интегрированы в наружную отделку. Архитектурное решение фасадов должно предусматривать подсветку НТО.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Архитектурное и конструктивное решение входной группы (групп) НТО,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Бахчевой развал.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развал возможно оборудовать прилавками в несколько уровней для хранения продукции. На полу укладывается временный настил.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Елочный базар.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Ограждения елочных базаров рекомендуется выполнять в стилистике новогоднего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оформления  сельского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F7E87">
        <w:rPr>
          <w:rFonts w:ascii="Times New Roman" w:hAnsi="Times New Roman" w:cs="Times New Roman"/>
          <w:sz w:val="24"/>
          <w:szCs w:val="24"/>
        </w:rPr>
        <w:t>Большая Каменка</w:t>
      </w:r>
      <w:r w:rsidRPr="002F205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из модульных деревянных элементов. Для изготовления деревянных ограждений рекомендуется использовать предварительно подготовленную, высушенную, обработанную антипиренами и антисептиками древесину.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елочном базаре необходимо предусмотреть освещение, место продавца и оборудовать прилавок.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ограждении не допускается размещение рекламы сторонней продукции.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Объект мобильной торговли.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Тележка для уличной торговли со встроенным оборудованием для решения широкого спектра задач (продажа мороженного, горячей выпечки, напитков и т.д.). Размеры изделия: 2209х940х1000 мм (без тента), общие габариты с тентом: 2209х1650х2164мм.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Габариты автомагазина зависят от модели транспортного средства. Глубины зоны обслуживания покупателей – 3 метра, ширина соответствует габаритам транспортного средства. На </w:t>
      </w:r>
      <w:proofErr w:type="spellStart"/>
      <w:r w:rsidRPr="002F205E">
        <w:rPr>
          <w:rFonts w:ascii="Times New Roman" w:hAnsi="Times New Roman" w:cs="Times New Roman"/>
          <w:sz w:val="24"/>
          <w:szCs w:val="24"/>
        </w:rPr>
        <w:t>светопрозрачных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конструкциях допускается размещение временного оформления (наклейки, покраска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).не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допускается размещение рекламы сторонней продукции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Торговый автомат.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Размеры торгового автомата варьируются в зависимости от модели автомата.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Конструкция автоматов должна быть прочной, устойчивой к температурным перепадам и иметь антивандальное покрытие. Автоматы размещаются таким образом, чтобы они не мешали проходу пешеходов. На автоматах необходимо размещать инструкцию по его использованию, указывать информацию об операторе.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lastRenderedPageBreak/>
        <w:t>Мобильный пункт быстрого питания.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Сезонные (летние)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Обустройство сезонного (летнего) кафе рекомендуется выполнить по проекту архитектурно-художественного решения, соответствующего окружающей застройки.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Места размещения, обустройство и эксплуатация сезонных (летних) кафе не должны нарушать права собственников и пользователей соседних помещений, зданий, строений, сооружений.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Площадь сезонного (летнего) кафе не может превышать площади стационарного предприятия общественного питания, при котором оно размещается.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участках, в границах которых произрастает деревья и кустарники, площадь сезонных кафе не должна превышать 50% от площади участка.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Размещение сезонного кафе над грунтовыми поверхностями, травяным газоном допускается при условии организации технологического настила.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При выполнении ремонтных, профилактических и других работ на инженерных сетях, коммуникациях и иных объектов инфраструктуры, во время выполнения которых невозможно функционирование сезонного (летнего) кафе, хозяйствующий субъект, обязан произвести демонтаж конструкций сезонного кафе.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расположенным в одном здании, строении, сооружении, конструкции сезонных (летних) кафе должны быть выполнены в едином архитектурно-художественном стиле с соблюдением 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Высота зонтов и </w:t>
      </w:r>
      <w:proofErr w:type="spellStart"/>
      <w:r w:rsidRPr="002F205E">
        <w:rPr>
          <w:rFonts w:ascii="Times New Roman" w:hAnsi="Times New Roman" w:cs="Times New Roman"/>
          <w:sz w:val="24"/>
          <w:szCs w:val="24"/>
        </w:rPr>
        <w:t>пергол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Установка навесов производится без их закрепления к фасаду для обеспечения сохранности архитектурных элементов. Стойки навесов устанавливаются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по центральными осям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простенков окон первого этажа, не допускается частично или полностью перекрывать архитектурные элементы фасада (фронтоны, пилястры, капители, карнизы, фризы и т.д.).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Зонты, используемые при обустройстве сезонного кафе, могут быть как однокупольными, так и многокупольными с центральной опорой, не допускается использование шатров.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Высота декоративных ограждений, используемых при обустройстве сезонных кафе, не может быть менее 0,60 метра и превышать 0,90 метра. 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Технологические настилы устраиваются на поверхности, имеющей уклон более 3 процентов (включительно), для  целей ее выравнивания, а также в целях изоляции элементов крепления и элементов оборудования, прокладки сетей электроснабжения в соответствии с требованиями пожарной безопасности, организации ливнестока с поверхности тротуара, неудовлетворительного состояния покрытия территории в границах </w:t>
      </w:r>
      <w:r w:rsidRPr="002F205E">
        <w:rPr>
          <w:rFonts w:ascii="Times New Roman" w:hAnsi="Times New Roman" w:cs="Times New Roman"/>
          <w:sz w:val="24"/>
          <w:szCs w:val="24"/>
        </w:rPr>
        <w:lastRenderedPageBreak/>
        <w:t>места размещения сезонного кафе (разрушенное асфальтобетонное покрытие или покрытие тротуарной плиткой, наличие трещин, выбоин и иных повреждений), над грунтовыми поверхностями, травяным газоном.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Не допускается размещение сезонных (летних) кафе: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- в 25-метровой зоне от технических сооружений общественного транспорта;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- в арках зданий, цветниках, детских и спортивных площадках, автомобильных стоянках;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 -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 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 - размещение нестационарных торговых объектов препятствует свободному подъезду пожарной, аварийно- спасательной техники».</w:t>
      </w:r>
    </w:p>
    <w:p w:rsidR="002F205E" w:rsidRPr="002F205E" w:rsidRDefault="002F205E" w:rsidP="0081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1.2. Раздел II «Порядок содержания объектов благоустройства» дополнить </w:t>
      </w:r>
    </w:p>
    <w:p w:rsidR="002F205E" w:rsidRPr="002F205E" w:rsidRDefault="002F205E" w:rsidP="0081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Главой 16 следующего содержания: </w:t>
      </w:r>
    </w:p>
    <w:p w:rsidR="002F205E" w:rsidRPr="002F205E" w:rsidRDefault="002F205E" w:rsidP="0081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«Глава 16. Требования к содержанию, выпасу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и  прогону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животных.</w:t>
      </w:r>
    </w:p>
    <w:p w:rsidR="002F205E" w:rsidRPr="002F205E" w:rsidRDefault="002F205E" w:rsidP="002F205E">
      <w:pPr>
        <w:pStyle w:val="docdata"/>
        <w:spacing w:before="0" w:beforeAutospacing="0" w:after="0" w:afterAutospacing="0" w:line="276" w:lineRule="auto"/>
        <w:ind w:firstLine="709"/>
        <w:jc w:val="both"/>
      </w:pPr>
      <w:r w:rsidRPr="002F205E">
        <w:t xml:space="preserve">16.1. В данной </w:t>
      </w:r>
      <w:proofErr w:type="gramStart"/>
      <w:r w:rsidRPr="002F205E">
        <w:t>главе  используются</w:t>
      </w:r>
      <w:proofErr w:type="gramEnd"/>
      <w:r w:rsidRPr="002F205E">
        <w:t xml:space="preserve"> следующие понятия:</w:t>
      </w:r>
    </w:p>
    <w:p w:rsidR="002F205E" w:rsidRPr="002F205E" w:rsidRDefault="002F205E" w:rsidP="002F205E">
      <w:pPr>
        <w:pStyle w:val="docdata"/>
        <w:spacing w:before="0" w:beforeAutospacing="0" w:after="0" w:afterAutospacing="0" w:line="276" w:lineRule="auto"/>
        <w:ind w:firstLine="709"/>
        <w:jc w:val="both"/>
      </w:pPr>
      <w:r w:rsidRPr="002F205E">
        <w:t>1. сельскохозяйственные животные - лошади, пони, ослы, крупный рогатый скот (коровы, бычки, телки, телята), мелко</w:t>
      </w:r>
      <w:r>
        <w:t xml:space="preserve"> </w:t>
      </w:r>
      <w:r w:rsidRPr="002F205E">
        <w:t xml:space="preserve">рогатый скот (овцы, </w:t>
      </w:r>
      <w:proofErr w:type="gramStart"/>
      <w:r w:rsidRPr="002F205E">
        <w:t>бараны,  козы</w:t>
      </w:r>
      <w:proofErr w:type="gramEnd"/>
      <w:r w:rsidRPr="002F205E">
        <w:t>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 ,  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>В понятие сельскохозяйственных животных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с целью получения продуктов жизнедеятельности от представителей разводимых животных.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2.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3. прогон животных - передвижение животных от места их постоянного нахождения до места выпаса и обратно;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4. выпас животных - контролируемое пребывание на пастбище животных в специально отведенных местах;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5. табун - организованная для вывода на пастбище группа животных: крупнорогатого скота, мелкого рогатого скота, лошадей;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 xml:space="preserve">6. табунщик (пастух)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</w:t>
      </w:r>
      <w:proofErr w:type="gramStart"/>
      <w:r w:rsidRPr="002F205E">
        <w:t>очередности</w:t>
      </w:r>
      <w:proofErr w:type="gramEnd"/>
      <w:r w:rsidRPr="002F205E">
        <w:t xml:space="preserve"> в определенный день пасет табун. Также табунщиком (пастухом) могут быть </w:t>
      </w:r>
      <w:r w:rsidRPr="002F205E">
        <w:lastRenderedPageBreak/>
        <w:t>лица, исполняющие эту обязанность по договору (устный или письменный) найма за плату или безвозмездно.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7.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</w:pPr>
      <w:r w:rsidRPr="002F205E">
        <w:t> </w:t>
      </w:r>
      <w:r w:rsidRPr="002F205E">
        <w:rPr>
          <w:bCs/>
        </w:rPr>
        <w:t>8. повреждение сельскохозяйственных, плодовых и культурных насаждений</w:t>
      </w:r>
      <w:r w:rsidRPr="002F205E"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</w:pPr>
      <w:r w:rsidRPr="002F205E">
        <w:rPr>
          <w:bCs/>
        </w:rPr>
        <w:t>9. уничтожение сельскохозяйственных, плодовых и культурных насаждений -</w:t>
      </w:r>
      <w:r w:rsidRPr="002F205E">
        <w:t xml:space="preserve"> </w:t>
      </w:r>
      <w:proofErr w:type="gramStart"/>
      <w:r w:rsidRPr="002F205E">
        <w:t>приведение  насаждений</w:t>
      </w:r>
      <w:proofErr w:type="gramEnd"/>
      <w:r w:rsidRPr="002F205E">
        <w:t xml:space="preserve">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</w:pPr>
      <w:r w:rsidRPr="002F205E">
        <w:rPr>
          <w:bCs/>
        </w:rPr>
        <w:t>10. пастбища -</w:t>
      </w:r>
      <w:r w:rsidRPr="002F205E">
        <w:t xml:space="preserve"> земельные угодья с травянистой растительностью, используемые для пастьбы животных;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bCs/>
          <w:sz w:val="24"/>
          <w:szCs w:val="24"/>
        </w:rPr>
        <w:t>16.2.  Порядок и условия содержания животных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3. Владельцы поголовья свиней обязаны обеспечить его </w:t>
      </w:r>
      <w:proofErr w:type="spellStart"/>
      <w:r w:rsidRPr="002F205E">
        <w:t>безвыгульное</w:t>
      </w:r>
      <w:proofErr w:type="spellEnd"/>
      <w:r w:rsidRPr="002F205E">
        <w:t xml:space="preserve"> содержание в закрытом для доступа диких птиц помещении или под навесами, исключающее контакт с другими животными и доступ посторонних лиц. Сельскохозяйственная птица, кролики, нутрии и иные мелкие сельскохозяйственные животные содержится </w:t>
      </w:r>
      <w:proofErr w:type="spellStart"/>
      <w:r w:rsidRPr="002F205E">
        <w:t>безвыгульно</w:t>
      </w:r>
      <w:proofErr w:type="spellEnd"/>
      <w:r w:rsidRPr="002F205E">
        <w:t xml:space="preserve"> – во дворах. 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4.  не допускать загрязнения окружающей природной среды отходами животноводства;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5.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6.  Учет животных ведется органом местного самоуправления в соответствии с порядком ведения </w:t>
      </w:r>
      <w:proofErr w:type="spellStart"/>
      <w:r w:rsidRPr="002F205E">
        <w:t>похозяйственных</w:t>
      </w:r>
      <w:proofErr w:type="spellEnd"/>
      <w:r w:rsidRPr="002F205E">
        <w:t xml:space="preserve"> книг. Владельцы с/х животных обязаны ежегодно подавать сведения о количестве животных в личном подсобном хозяйстве.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2F205E">
        <w:rPr>
          <w:bCs/>
        </w:rPr>
        <w:t>16.3. Прогон и выпас сельскохозяйственных животных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lastRenderedPageBreak/>
        <w:t xml:space="preserve">1. Прогон с/х животных осуществляется строго под обязательным надзором владельцев животных либо лиц, ими уполномоченных. Запрещается прогон животных по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</w:t>
      </w:r>
      <w:proofErr w:type="gramStart"/>
      <w:r w:rsidRPr="002F205E">
        <w:t>площадей,  мест</w:t>
      </w:r>
      <w:proofErr w:type="gramEnd"/>
      <w:r w:rsidRPr="002F205E">
        <w:t xml:space="preserve"> захоронений, автомобильных дорог и других мест общего пользования.  </w:t>
      </w:r>
    </w:p>
    <w:p w:rsidR="002F205E" w:rsidRPr="002F205E" w:rsidRDefault="002F205E" w:rsidP="002F205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 и других зданий и сооружений.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2. Во время прогона с/х животные должны находится под присмотром собственника животного или его уполномоченного лица. Собственник несет ответственность за любого рода повреждения или </w:t>
      </w:r>
      <w:proofErr w:type="gramStart"/>
      <w:r w:rsidRPr="002F205E">
        <w:t xml:space="preserve">уничтожение  </w:t>
      </w:r>
      <w:r w:rsidRPr="002F205E">
        <w:rPr>
          <w:bCs/>
        </w:rPr>
        <w:t>сельскохозяйственных</w:t>
      </w:r>
      <w:proofErr w:type="gramEnd"/>
      <w:r w:rsidRPr="002F205E">
        <w:rPr>
          <w:bCs/>
        </w:rPr>
        <w:t>, плодовых и культурных насаждений</w:t>
      </w:r>
      <w:r w:rsidRPr="002F205E">
        <w:t xml:space="preserve">, а так же причинение любого вида вреда муниципальному имуществу (в </w:t>
      </w:r>
      <w:proofErr w:type="spellStart"/>
      <w:r w:rsidRPr="002F205E">
        <w:t>т.ч</w:t>
      </w:r>
      <w:proofErr w:type="spellEnd"/>
      <w:r w:rsidRPr="002F205E">
        <w:t xml:space="preserve"> элементы детских площадок, цветники, ограждения) и имуществу граждан. Уничтожение или порчу имущества, ограждений участков граждан и организаций любой формы собственности.</w:t>
      </w:r>
      <w:r w:rsidRPr="002F205E">
        <w:rPr>
          <w:bCs/>
        </w:rPr>
        <w:t xml:space="preserve"> 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 xml:space="preserve">3. 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 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 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>4. Запрещается выпас животных в зоне санитарной охраны источников водоснабжения;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5. Разрешается свободный выпас животных на огороженной территории, принадлежащей собственнику земельного участка.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6. </w:t>
      </w:r>
      <w:proofErr w:type="gramStart"/>
      <w:r w:rsidRPr="002F205E">
        <w:t>Сельскохозяйственные животные</w:t>
      </w:r>
      <w:proofErr w:type="gramEnd"/>
      <w:r w:rsidRPr="002F205E">
        <w:t xml:space="preserve">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F205E">
        <w:t xml:space="preserve">Запрещается выпускать и производить выпас </w:t>
      </w:r>
      <w:proofErr w:type="gramStart"/>
      <w:r w:rsidRPr="002F205E">
        <w:t>сельскохозяйственных животных</w:t>
      </w:r>
      <w:proofErr w:type="gramEnd"/>
      <w:r w:rsidRPr="002F205E">
        <w:t xml:space="preserve"> принадлежащих сельскохозяйственным предприятиям, крестьянско-фермерским хозяйствам без присмотра.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7. Порядок и очередность выпаса определяется решением собрания владельцев животных. Выпас производится собственниками либо уполномоченным лицом (пастухом).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9. Владельцы обязаны своевременно выпустить и сопроводить животных с мест постоянного содержания, сдать пастуху. После пригона табуна - встречать животных с табуна, не допуская беспризорное нахождение животных на территории сельского поселения. 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10. Запрещается выпускать в табун: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proofErr w:type="gramStart"/>
      <w:r w:rsidRPr="002F205E">
        <w:t>больных  животных</w:t>
      </w:r>
      <w:proofErr w:type="gramEnd"/>
      <w:r w:rsidRPr="002F205E">
        <w:t>, в том числе зараженных заразными болезнями;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животных, не прошедшие обязательные ветеринарные процедуры, в том числе прививки и вакцинации;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Табунщик (пастух)отвечает за: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соблюдение очередности выпаса;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своевременный сбор и прогон табуна;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выбор безопасного маршрута прогона табуна до пастбища;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lastRenderedPageBreak/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Табунщик (пастух) несет ответственность за сохранность всего поголовья животных в табуне. Табунщик (пастух) обязан следить и не допускать, чтобы животные не отбились от табуна во время перегона, выпаса. Не допускать фактов кражи животных с табуна. 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rPr>
          <w:b/>
        </w:rPr>
        <w:t> </w:t>
      </w:r>
      <w:r w:rsidRPr="002F205E">
        <w:t>16.4. Требования к времени выпаса и прогона сельскохозяйственных животных</w:t>
      </w:r>
    </w:p>
    <w:p w:rsidR="002F205E" w:rsidRPr="002F205E" w:rsidRDefault="002F205E" w:rsidP="00813EB3">
      <w:pPr>
        <w:pStyle w:val="a3"/>
        <w:spacing w:before="0" w:beforeAutospacing="0" w:after="0" w:afterAutospacing="0" w:line="276" w:lineRule="auto"/>
        <w:jc w:val="both"/>
      </w:pPr>
      <w:r w:rsidRPr="002F205E">
        <w:t>1. Табунщик (пастух)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 При самостоятельном выпасе, владелец животного сам определяет время выпаса. Не допускается прогон и выпас сельскохозяйственных животных в ночное время.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16.5. Требования к порядку согласования выпаса и прогона с/х животных.</w:t>
      </w:r>
    </w:p>
    <w:p w:rsid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1. Маршрут прогона и выпаса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стада  ежегодно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согласовывается Владельцами животных самостоятельно или через уполномоченное лицо (пастуха)   с администрацией поселения за 14 дней до начала выпаса.</w:t>
      </w:r>
    </w:p>
    <w:p w:rsidR="00813EB3" w:rsidRDefault="00813EB3" w:rsidP="00813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813EB3">
        <w:rPr>
          <w:szCs w:val="28"/>
        </w:rPr>
        <w:t xml:space="preserve"> </w:t>
      </w:r>
      <w:r w:rsidRPr="00813EB3">
        <w:rPr>
          <w:rFonts w:ascii="Times New Roman" w:hAnsi="Times New Roman" w:cs="Times New Roman"/>
          <w:sz w:val="24"/>
          <w:szCs w:val="24"/>
        </w:rPr>
        <w:t xml:space="preserve">Главу 15 раздела </w:t>
      </w:r>
      <w:r w:rsidRPr="00813EB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3EB3">
        <w:rPr>
          <w:rFonts w:ascii="Times New Roman" w:hAnsi="Times New Roman" w:cs="Times New Roman"/>
          <w:sz w:val="24"/>
          <w:szCs w:val="24"/>
        </w:rPr>
        <w:t>, считать Главой 17</w:t>
      </w:r>
    </w:p>
    <w:p w:rsidR="000862E0" w:rsidRPr="00813EB3" w:rsidRDefault="000862E0" w:rsidP="00813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B3">
        <w:rPr>
          <w:rFonts w:ascii="Times New Roman" w:hAnsi="Times New Roman" w:cs="Times New Roman"/>
          <w:bCs/>
          <w:sz w:val="24"/>
          <w:szCs w:val="24"/>
        </w:rPr>
        <w:t>2. 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0862E0" w:rsidRPr="00813EB3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EB3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0862E0" w:rsidRPr="002F205E" w:rsidTr="00834640">
        <w:trPr>
          <w:jc w:val="center"/>
        </w:trPr>
        <w:tc>
          <w:tcPr>
            <w:tcW w:w="4946" w:type="dxa"/>
            <w:shd w:val="clear" w:color="auto" w:fill="auto"/>
          </w:tcPr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Председатель 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Собрания представителей 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сельского поселения </w:t>
            </w:r>
            <w:r w:rsidR="008F7E87">
              <w:rPr>
                <w:rFonts w:ascii="Times New Roman" w:hAnsi="Times New Roman" w:cs="Times New Roman"/>
                <w:b/>
                <w:szCs w:val="28"/>
              </w:rPr>
              <w:t>Большая Каменка</w:t>
            </w: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0862E0" w:rsidRPr="002F205E" w:rsidRDefault="008F7E87" w:rsidP="002F205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И.В.Святкин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Глава 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сельского поселения </w:t>
            </w:r>
            <w:r w:rsidR="008F7E87">
              <w:rPr>
                <w:rFonts w:ascii="Times New Roman" w:hAnsi="Times New Roman" w:cs="Times New Roman"/>
                <w:b/>
                <w:szCs w:val="28"/>
              </w:rPr>
              <w:t>Большая Каменка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>муниципального района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>Красноярский Самарской области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862E0" w:rsidRPr="002F205E" w:rsidRDefault="008F7E87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О.А.Якушев</w:t>
            </w:r>
            <w:proofErr w:type="spellEnd"/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862E0" w:rsidRPr="002F205E" w:rsidRDefault="000862E0" w:rsidP="002F205E">
      <w:pPr>
        <w:spacing w:after="0"/>
        <w:rPr>
          <w:rFonts w:ascii="Times New Roman" w:hAnsi="Times New Roman" w:cs="Times New Roman"/>
          <w:color w:val="000000"/>
          <w:szCs w:val="28"/>
        </w:rPr>
      </w:pPr>
    </w:p>
    <w:p w:rsidR="006116B3" w:rsidRPr="002F205E" w:rsidRDefault="006116B3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B3" w:rsidRPr="002F205E" w:rsidRDefault="006116B3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28F" w:rsidRPr="002F205E" w:rsidRDefault="003F528F" w:rsidP="002F20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43" w:rsidRPr="002F205E" w:rsidRDefault="00C07F43" w:rsidP="002F205E">
      <w:pPr>
        <w:pStyle w:val="a3"/>
        <w:spacing w:before="0" w:beforeAutospacing="0" w:after="0" w:afterAutospacing="0"/>
        <w:ind w:firstLine="540"/>
        <w:jc w:val="both"/>
      </w:pPr>
    </w:p>
    <w:sectPr w:rsidR="00C07F43" w:rsidRPr="002F205E" w:rsidSect="0061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3115B"/>
    <w:multiLevelType w:val="multilevel"/>
    <w:tmpl w:val="48D8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C4"/>
    <w:rsid w:val="00044E02"/>
    <w:rsid w:val="00061A4C"/>
    <w:rsid w:val="0008024C"/>
    <w:rsid w:val="000862E0"/>
    <w:rsid w:val="00177F60"/>
    <w:rsid w:val="001D4DFE"/>
    <w:rsid w:val="002658B8"/>
    <w:rsid w:val="002B5CEE"/>
    <w:rsid w:val="002F205E"/>
    <w:rsid w:val="002F493E"/>
    <w:rsid w:val="003245EF"/>
    <w:rsid w:val="00351935"/>
    <w:rsid w:val="003F528F"/>
    <w:rsid w:val="004833C4"/>
    <w:rsid w:val="005C5DAA"/>
    <w:rsid w:val="00604654"/>
    <w:rsid w:val="0061039B"/>
    <w:rsid w:val="006116B3"/>
    <w:rsid w:val="0072172B"/>
    <w:rsid w:val="00813EB3"/>
    <w:rsid w:val="00823BE8"/>
    <w:rsid w:val="008C0EE1"/>
    <w:rsid w:val="008F7E87"/>
    <w:rsid w:val="00964983"/>
    <w:rsid w:val="009924E8"/>
    <w:rsid w:val="009A471E"/>
    <w:rsid w:val="00A27CDB"/>
    <w:rsid w:val="00AF153C"/>
    <w:rsid w:val="00C02CDE"/>
    <w:rsid w:val="00C07F43"/>
    <w:rsid w:val="00C16174"/>
    <w:rsid w:val="00C67F7D"/>
    <w:rsid w:val="00C70378"/>
    <w:rsid w:val="00C8114D"/>
    <w:rsid w:val="00C95164"/>
    <w:rsid w:val="00CD3B37"/>
    <w:rsid w:val="00D720AC"/>
    <w:rsid w:val="00D77332"/>
    <w:rsid w:val="00D8566E"/>
    <w:rsid w:val="00DC3A53"/>
    <w:rsid w:val="00E31BA5"/>
    <w:rsid w:val="00E535FA"/>
    <w:rsid w:val="00EE029F"/>
    <w:rsid w:val="00F76195"/>
    <w:rsid w:val="00F91D93"/>
    <w:rsid w:val="00FE1B83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938AD-0506-41C4-86E8-7E73167C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9B"/>
  </w:style>
  <w:style w:type="paragraph" w:styleId="9">
    <w:name w:val="heading 9"/>
    <w:basedOn w:val="a"/>
    <w:next w:val="a"/>
    <w:link w:val="90"/>
    <w:qFormat/>
    <w:rsid w:val="000862E0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2063,bqiaagaaeyqcaaagiaiaaaovcweabzisaqaaaaaaaaaaaaaaaaaaaaaaaaaaaaaaaaaaaaaaaaaaaaaaaaaaaaaaaaaaaaaaaaaaaaaaaaaaaaaaaaaaaaaaaaaaaaaaaaaaaaaaaaaaaaaaaaaaaaaaaaaaaaaaaaaaaaaaaaaaaaaaaaaaaaaaaaaaaaaaaaaaaaaaaaaaaaaaaaaaaaaaaaaaaaaaaaaaaaa"/>
    <w:basedOn w:val="a"/>
    <w:rsid w:val="00F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C70378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character" w:customStyle="1" w:styleId="Heading1Char">
    <w:name w:val="Heading 1 Char"/>
    <w:basedOn w:val="a0"/>
    <w:link w:val="11"/>
    <w:uiPriority w:val="9"/>
    <w:rsid w:val="00C70378"/>
    <w:rPr>
      <w:rFonts w:ascii="Arial" w:eastAsia="Arial" w:hAnsi="Arial" w:cs="Arial"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C7037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862E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5">
    <w:name w:val="Адресат (кому)"/>
    <w:basedOn w:val="a"/>
    <w:rsid w:val="000862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western">
    <w:name w:val="western"/>
    <w:basedOn w:val="a"/>
    <w:rsid w:val="000862E0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 sela</dc:creator>
  <cp:lastModifiedBy>Пользователь Windows</cp:lastModifiedBy>
  <cp:revision>2</cp:revision>
  <cp:lastPrinted>2022-05-16T06:34:00Z</cp:lastPrinted>
  <dcterms:created xsi:type="dcterms:W3CDTF">2022-05-16T06:45:00Z</dcterms:created>
  <dcterms:modified xsi:type="dcterms:W3CDTF">2022-05-16T06:45:00Z</dcterms:modified>
</cp:coreProperties>
</file>