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267899" w:rsidRDefault="00680282" w:rsidP="00267899">
      <w:r>
        <w:t xml:space="preserve">                                              </w:t>
      </w:r>
      <w:r w:rsidR="00645292">
        <w:t xml:space="preserve">от   октября 2023 года №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00D70549">
        <w:rPr>
          <w:szCs w:val="28"/>
        </w:rPr>
        <w:t>,от 22.08.2023 № 53</w:t>
      </w:r>
      <w:r w:rsidR="00645292">
        <w:rPr>
          <w:szCs w:val="28"/>
        </w:rPr>
        <w:t xml:space="preserve"> от 26.09.2023 № 58</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sidR="00E2761D">
        <w:rPr>
          <w:szCs w:val="28"/>
        </w:rPr>
        <w:t>-2023 годах – 1</w:t>
      </w:r>
      <w:r w:rsidR="00645292">
        <w:rPr>
          <w:szCs w:val="28"/>
        </w:rPr>
        <w:t>5</w:t>
      </w:r>
      <w:r w:rsidR="00E2761D">
        <w:rPr>
          <w:szCs w:val="28"/>
        </w:rPr>
        <w:t xml:space="preserve"> 5</w:t>
      </w:r>
      <w:r>
        <w:rPr>
          <w:szCs w:val="28"/>
        </w:rPr>
        <w:t>99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sidR="00645292">
        <w:rPr>
          <w:szCs w:val="28"/>
        </w:rPr>
        <w:t>ления -   9</w:t>
      </w:r>
      <w:r w:rsidR="00E2761D">
        <w:rPr>
          <w:szCs w:val="28"/>
        </w:rPr>
        <w:t xml:space="preserve"> 7</w:t>
      </w:r>
      <w:r>
        <w:rPr>
          <w:szCs w:val="28"/>
        </w:rPr>
        <w:t>45</w:t>
      </w:r>
      <w:r w:rsidRPr="000C3DEA">
        <w:rPr>
          <w:szCs w:val="28"/>
        </w:rPr>
        <w:t xml:space="preserve">,00 тыс. рублей.   </w:t>
      </w:r>
    </w:p>
    <w:p w:rsidR="00E73351" w:rsidRPr="000C3DEA" w:rsidRDefault="00E73351" w:rsidP="00E73351">
      <w:pPr>
        <w:jc w:val="both"/>
        <w:rPr>
          <w:szCs w:val="28"/>
        </w:rPr>
      </w:pPr>
      <w:r w:rsidRPr="000C3DEA">
        <w:rPr>
          <w:szCs w:val="28"/>
        </w:rPr>
        <w:t xml:space="preserve">     Объем финансирования по годам:</w:t>
      </w:r>
    </w:p>
    <w:p w:rsidR="00E73351" w:rsidRPr="000C3DEA" w:rsidRDefault="00E73351" w:rsidP="00E73351">
      <w:pPr>
        <w:jc w:val="both"/>
        <w:rPr>
          <w:szCs w:val="28"/>
        </w:rPr>
      </w:pPr>
      <w:r w:rsidRPr="000C3DEA">
        <w:rPr>
          <w:szCs w:val="28"/>
        </w:rPr>
        <w:lastRenderedPageBreak/>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w:t>
      </w:r>
      <w:r w:rsidR="00645292">
        <w:rPr>
          <w:szCs w:val="28"/>
        </w:rPr>
        <w:t>2023 год – 4</w:t>
      </w:r>
      <w:r w:rsidR="00E2761D">
        <w:rPr>
          <w:szCs w:val="28"/>
        </w:rPr>
        <w:t xml:space="preserve"> 483</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645292"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E2761D">
              <w:rPr>
                <w:rFonts w:ascii="Times New Roman" w:hAnsi="Times New Roman" w:cs="Times New Roman"/>
                <w:sz w:val="28"/>
                <w:szCs w:val="28"/>
              </w:rPr>
              <w:t xml:space="preserve"> 483</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645292"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bookmarkStart w:id="0" w:name="_GoBack"/>
            <w:bookmarkEnd w:id="0"/>
            <w:r w:rsidR="00E2761D">
              <w:rPr>
                <w:rFonts w:ascii="Times New Roman" w:hAnsi="Times New Roman" w:cs="Times New Roman"/>
                <w:sz w:val="28"/>
                <w:szCs w:val="28"/>
              </w:rPr>
              <w:t xml:space="preserve"> 5</w:t>
            </w:r>
            <w:r w:rsidR="005322A1">
              <w:rPr>
                <w:rFonts w:ascii="Times New Roman" w:hAnsi="Times New Roman" w:cs="Times New Roman"/>
                <w:sz w:val="28"/>
                <w:szCs w:val="28"/>
              </w:rPr>
              <w:t>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44A4D"/>
    <w:rsid w:val="00E63C51"/>
    <w:rsid w:val="00E65C02"/>
    <w:rsid w:val="00E73351"/>
    <w:rsid w:val="00E73537"/>
    <w:rsid w:val="00EC0B0F"/>
    <w:rsid w:val="00EC1883"/>
    <w:rsid w:val="00EF40B3"/>
    <w:rsid w:val="00F11173"/>
    <w:rsid w:val="00F32D8C"/>
    <w:rsid w:val="00F355F2"/>
    <w:rsid w:val="00F5435A"/>
    <w:rsid w:val="00F753BC"/>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2023-09-26T06:28:00Z</cp:lastPrinted>
  <dcterms:created xsi:type="dcterms:W3CDTF">2023-10-10T10:51:00Z</dcterms:created>
  <dcterms:modified xsi:type="dcterms:W3CDTF">2023-10-10T10:56:00Z</dcterms:modified>
</cp:coreProperties>
</file>