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D" w:rsidRPr="00381C80" w:rsidRDefault="002A1D2D" w:rsidP="00EE09C0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198pt;margin-top:-36pt;width:45pt;height:54pt;z-index:251658240;visibility:visible;mso-position-horizontal-relative:margin">
            <v:imagedata r:id="rId5" o:title="" gain="2147483647f" blacklevel="3932f"/>
            <w10:wrap type="topAndBottom" anchorx="margin"/>
          </v:shape>
        </w:pict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2A1D2D" w:rsidRPr="00381C80" w:rsidRDefault="002A1D2D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Большая каменка</w:t>
      </w:r>
    </w:p>
    <w:p w:rsidR="002A1D2D" w:rsidRPr="00381C80" w:rsidRDefault="002A1D2D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2A1D2D" w:rsidRPr="00381C80" w:rsidRDefault="002A1D2D" w:rsidP="00EE48A3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2A1D2D" w:rsidRPr="00381C80" w:rsidRDefault="002A1D2D" w:rsidP="00EE48A3">
      <w:pPr>
        <w:rPr>
          <w:b/>
          <w:bCs/>
          <w:sz w:val="28"/>
          <w:szCs w:val="28"/>
        </w:rPr>
      </w:pPr>
    </w:p>
    <w:p w:rsidR="002A1D2D" w:rsidRPr="00381C80" w:rsidRDefault="002A1D2D" w:rsidP="00EE48A3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2A1D2D" w:rsidRPr="00381C80" w:rsidRDefault="002A1D2D" w:rsidP="00EE48A3">
      <w:pPr>
        <w:jc w:val="center"/>
        <w:rPr>
          <w:b/>
          <w:bCs/>
          <w:sz w:val="28"/>
          <w:szCs w:val="28"/>
        </w:rPr>
      </w:pPr>
    </w:p>
    <w:p w:rsidR="002A1D2D" w:rsidRDefault="002A1D2D" w:rsidP="00EE48A3">
      <w:pPr>
        <w:jc w:val="center"/>
        <w:rPr>
          <w:sz w:val="28"/>
          <w:szCs w:val="28"/>
        </w:rPr>
      </w:pPr>
      <w:r w:rsidRPr="00E1680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24 ноября </w:t>
      </w:r>
      <w:r w:rsidRPr="00E1680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1680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69</w:t>
      </w:r>
    </w:p>
    <w:p w:rsidR="002A1D2D" w:rsidRDefault="002A1D2D" w:rsidP="00EE48A3">
      <w:pPr>
        <w:jc w:val="center"/>
        <w:rPr>
          <w:sz w:val="28"/>
          <w:szCs w:val="28"/>
        </w:rPr>
      </w:pPr>
    </w:p>
    <w:p w:rsidR="002A1D2D" w:rsidRDefault="002A1D2D" w:rsidP="00FE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Большая Каменка муниципального района Красноярский Самарской области от 02 ноября №  57 «О передаче имущества, находящегося в собственности  сельского поселения Большая Каменка </w:t>
      </w:r>
      <w:r w:rsidRPr="00FE1A96">
        <w:rPr>
          <w:b/>
          <w:sz w:val="28"/>
          <w:szCs w:val="28"/>
        </w:rPr>
        <w:t>муниципального района Красноярский Самарской области</w:t>
      </w:r>
      <w:r>
        <w:rPr>
          <w:b/>
          <w:sz w:val="28"/>
          <w:szCs w:val="28"/>
        </w:rPr>
        <w:t xml:space="preserve"> в собственность муниципального района Красноярский Самарской области».</w:t>
      </w:r>
    </w:p>
    <w:p w:rsidR="002A1D2D" w:rsidRDefault="002A1D2D" w:rsidP="00FE1A96">
      <w:pPr>
        <w:jc w:val="center"/>
        <w:rPr>
          <w:b/>
          <w:sz w:val="28"/>
          <w:szCs w:val="28"/>
        </w:rPr>
      </w:pPr>
    </w:p>
    <w:p w:rsidR="002A1D2D" w:rsidRPr="00C0772C" w:rsidRDefault="002A1D2D" w:rsidP="00FE1A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1A9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</w:t>
      </w:r>
      <w:r w:rsidRPr="00FE1A96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</w:t>
      </w:r>
      <w:r w:rsidRPr="00332D53">
        <w:rPr>
          <w:sz w:val="28"/>
          <w:szCs w:val="28"/>
        </w:rPr>
        <w:t>пунктом 20 статьи 45 Устава</w:t>
      </w:r>
      <w:r w:rsidRPr="00FE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Большая Каменка  </w:t>
      </w:r>
      <w:r w:rsidRPr="00FE1A9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FE1A96">
        <w:rPr>
          <w:sz w:val="28"/>
          <w:szCs w:val="28"/>
        </w:rPr>
        <w:t xml:space="preserve">Красноярский Самарской области, </w:t>
      </w:r>
      <w:r w:rsidRPr="008A4D87">
        <w:rPr>
          <w:sz w:val="28"/>
          <w:szCs w:val="28"/>
        </w:rPr>
        <w:t>Решением Собрания представителей  сельского поселения Большая</w:t>
      </w:r>
      <w:r>
        <w:rPr>
          <w:sz w:val="28"/>
          <w:szCs w:val="28"/>
        </w:rPr>
        <w:t xml:space="preserve"> Каменка</w:t>
      </w:r>
      <w:r w:rsidRPr="008A4D87">
        <w:rPr>
          <w:sz w:val="28"/>
          <w:szCs w:val="28"/>
        </w:rPr>
        <w:t xml:space="preserve">  муниципального района Крас</w:t>
      </w:r>
      <w:r>
        <w:rPr>
          <w:sz w:val="28"/>
          <w:szCs w:val="28"/>
        </w:rPr>
        <w:t>ноярский Самарской области от 24 ноября 2022 года №  42</w:t>
      </w:r>
    </w:p>
    <w:p w:rsidR="002A1D2D" w:rsidRDefault="002A1D2D" w:rsidP="00FE1A9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C4D52">
        <w:rPr>
          <w:b/>
          <w:sz w:val="28"/>
          <w:szCs w:val="28"/>
        </w:rPr>
        <w:t>ПОСТАНОВЛЯЕТ</w:t>
      </w:r>
      <w:r w:rsidRPr="00FE1A96">
        <w:rPr>
          <w:sz w:val="28"/>
          <w:szCs w:val="28"/>
        </w:rPr>
        <w:t>:</w:t>
      </w:r>
    </w:p>
    <w:p w:rsidR="002A1D2D" w:rsidRDefault="002A1D2D" w:rsidP="00350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772C">
        <w:rPr>
          <w:sz w:val="28"/>
          <w:szCs w:val="28"/>
        </w:rPr>
        <w:t>1.Внести изменения в Приложение 1 к Постановлению администрации сельского поселения Большая Каменка муниципального района Красноярский Самарской области от 02 ноября №  57 «О передаче имущества, находящегося в собственности  сельского поселения Большая Каменка муниципального района Красноярский Самарской области в собственность муниципального района Красноярский Самарской области».</w:t>
      </w:r>
    </w:p>
    <w:p w:rsidR="002A1D2D" w:rsidRPr="00C0772C" w:rsidRDefault="002A1D2D" w:rsidP="003507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2.Приложение  № 1 к Постановлению изложить согласно Приложению № 1  к настоящему Постановлению.</w:t>
      </w:r>
    </w:p>
    <w:p w:rsidR="002A1D2D" w:rsidRPr="00C0772C" w:rsidRDefault="002A1D2D" w:rsidP="00C0772C">
      <w:pPr>
        <w:spacing w:line="360" w:lineRule="auto"/>
        <w:jc w:val="both"/>
        <w:rPr>
          <w:sz w:val="28"/>
          <w:szCs w:val="28"/>
        </w:rPr>
      </w:pPr>
    </w:p>
    <w:p w:rsidR="002A1D2D" w:rsidRPr="00C0772C" w:rsidRDefault="002A1D2D" w:rsidP="00C0772C">
      <w:pPr>
        <w:spacing w:line="360" w:lineRule="auto"/>
        <w:jc w:val="both"/>
        <w:rPr>
          <w:sz w:val="28"/>
          <w:szCs w:val="28"/>
        </w:rPr>
      </w:pPr>
    </w:p>
    <w:p w:rsidR="002A1D2D" w:rsidRPr="003507B8" w:rsidRDefault="002A1D2D" w:rsidP="003507B8">
      <w:pPr>
        <w:spacing w:line="360" w:lineRule="auto"/>
        <w:jc w:val="both"/>
        <w:rPr>
          <w:sz w:val="28"/>
          <w:szCs w:val="28"/>
        </w:rPr>
      </w:pPr>
      <w:r w:rsidRPr="003507B8">
        <w:rPr>
          <w:sz w:val="28"/>
          <w:szCs w:val="28"/>
        </w:rPr>
        <w:t xml:space="preserve">         3.Опубликовать настоящее постановление в газете "Красноярский вестник" и на официальном сайте администрации муниципального района Красноярский в информационно-телекоммуникационной сети «Интернет» - http://www.kryaradm.ru в подразделе «Поселения/Большая Каменка».</w:t>
      </w:r>
    </w:p>
    <w:p w:rsidR="002A1D2D" w:rsidRDefault="002A1D2D" w:rsidP="003507B8">
      <w:pPr>
        <w:spacing w:line="360" w:lineRule="auto"/>
        <w:jc w:val="both"/>
        <w:rPr>
          <w:sz w:val="28"/>
          <w:szCs w:val="28"/>
        </w:rPr>
      </w:pPr>
    </w:p>
    <w:p w:rsidR="002A1D2D" w:rsidRDefault="002A1D2D" w:rsidP="00EE48A3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A1D2D" w:rsidRPr="005E0C56" w:rsidRDefault="002A1D2D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2A1D2D" w:rsidRPr="005E0C56" w:rsidRDefault="002A1D2D" w:rsidP="00EE48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Большая Каменка</w:t>
      </w:r>
      <w:r w:rsidRPr="005E0C56">
        <w:rPr>
          <w:b/>
          <w:sz w:val="28"/>
          <w:szCs w:val="28"/>
        </w:rPr>
        <w:t xml:space="preserve"> муниципального</w:t>
      </w:r>
    </w:p>
    <w:p w:rsidR="002A1D2D" w:rsidRPr="005E0C56" w:rsidRDefault="002A1D2D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2A1D2D" w:rsidRDefault="002A1D2D" w:rsidP="00EE48A3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5E0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О.А.Якушев</w:t>
      </w: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b/>
          <w:sz w:val="28"/>
          <w:szCs w:val="28"/>
        </w:rPr>
      </w:pPr>
    </w:p>
    <w:p w:rsidR="002A1D2D" w:rsidRDefault="002A1D2D" w:rsidP="00EE48A3">
      <w:pPr>
        <w:jc w:val="both"/>
        <w:rPr>
          <w:sz w:val="20"/>
          <w:szCs w:val="20"/>
        </w:rPr>
      </w:pPr>
    </w:p>
    <w:p w:rsidR="002A1D2D" w:rsidRDefault="002A1D2D" w:rsidP="00EE48A3">
      <w:pPr>
        <w:jc w:val="both"/>
        <w:rPr>
          <w:sz w:val="20"/>
          <w:szCs w:val="20"/>
        </w:rPr>
      </w:pPr>
    </w:p>
    <w:p w:rsidR="002A1D2D" w:rsidRDefault="002A1D2D" w:rsidP="00EE48A3">
      <w:pPr>
        <w:jc w:val="both"/>
        <w:rPr>
          <w:sz w:val="20"/>
          <w:szCs w:val="20"/>
        </w:rPr>
        <w:sectPr w:rsidR="002A1D2D" w:rsidSect="009A7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2A1D2D" w:rsidRDefault="002A1D2D" w:rsidP="00CE65F8">
      <w:r>
        <w:t xml:space="preserve">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2A1D2D" w:rsidRDefault="002A1D2D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к  Постановлению   Администрации</w:t>
      </w:r>
      <w:r w:rsidRPr="00CE65F8">
        <w:t xml:space="preserve"> </w:t>
      </w:r>
      <w:r w:rsidRPr="00200BDC">
        <w:t xml:space="preserve">сельского поселения  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2A1D2D" w:rsidRDefault="002A1D2D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Большая Каменка муниципального</w:t>
      </w:r>
      <w:r w:rsidRPr="00CE65F8">
        <w:t xml:space="preserve"> </w:t>
      </w:r>
      <w:r>
        <w:t>района  Красноярский</w:t>
      </w:r>
    </w:p>
    <w:p w:rsidR="002A1D2D" w:rsidRDefault="002A1D2D" w:rsidP="00CE65F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Самарской  области    от 24.11.2022 года № 69                                                                                                                                                                                         </w:t>
      </w:r>
    </w:p>
    <w:tbl>
      <w:tblPr>
        <w:tblW w:w="14760" w:type="dxa"/>
        <w:tblInd w:w="93" w:type="dxa"/>
        <w:tblLook w:val="0000"/>
      </w:tblPr>
      <w:tblGrid>
        <w:gridCol w:w="640"/>
        <w:gridCol w:w="1880"/>
        <w:gridCol w:w="3460"/>
        <w:gridCol w:w="840"/>
        <w:gridCol w:w="1620"/>
        <w:gridCol w:w="1660"/>
        <w:gridCol w:w="1860"/>
        <w:gridCol w:w="1560"/>
        <w:gridCol w:w="1240"/>
      </w:tblGrid>
      <w:tr w:rsidR="002A1D2D" w:rsidRPr="003507B8" w:rsidTr="003507B8">
        <w:trPr>
          <w:trHeight w:val="360"/>
        </w:trPr>
        <w:tc>
          <w:tcPr>
            <w:tcW w:w="147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Перечень имущества, принимаемого из собственности сельского поселения Большая Каменка муниципального района Красноярский в муниципальную собственность муниципального района Красноярский Самарской области</w:t>
            </w:r>
          </w:p>
        </w:tc>
      </w:tr>
      <w:tr w:rsidR="002A1D2D" w:rsidRPr="003507B8" w:rsidTr="003507B8">
        <w:trPr>
          <w:trHeight w:val="540"/>
        </w:trPr>
        <w:tc>
          <w:tcPr>
            <w:tcW w:w="147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D2D" w:rsidRPr="003507B8" w:rsidRDefault="002A1D2D" w:rsidP="003507B8">
            <w:pPr>
              <w:rPr>
                <w:b/>
                <w:bCs/>
              </w:rPr>
            </w:pPr>
          </w:p>
        </w:tc>
      </w:tr>
      <w:tr w:rsidR="002A1D2D" w:rsidRPr="003507B8" w:rsidTr="003507B8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D2D" w:rsidRPr="003507B8" w:rsidRDefault="002A1D2D" w:rsidP="003507B8">
            <w:pPr>
              <w:rPr>
                <w:sz w:val="28"/>
                <w:szCs w:val="28"/>
              </w:rPr>
            </w:pPr>
          </w:p>
        </w:tc>
      </w:tr>
      <w:tr w:rsidR="002A1D2D" w:rsidRPr="003507B8" w:rsidTr="003507B8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№ п/п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Наименование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Адрес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Год ввода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Дата постановки на баланс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Балансовая стоимость (руб.)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Амортизация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Остаточная стоимость (руб.)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Наличие паспорта</w:t>
            </w:r>
          </w:p>
        </w:tc>
      </w:tr>
      <w:tr w:rsidR="002A1D2D" w:rsidRPr="003507B8" w:rsidTr="003507B8">
        <w:trPr>
          <w:trHeight w:val="27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Водопроводные сети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Самарская область, Красноярский район, с. Большая Каменка,  ул. Центральная, Полевая, Молодежная, Луговая, Батаева, Сухолиния, Лесная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1988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31.12.2008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 xml:space="preserve">  5 307 068,00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 xml:space="preserve">     5 307 068,00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Да</w:t>
            </w:r>
          </w:p>
        </w:tc>
      </w:tr>
      <w:tr w:rsidR="002A1D2D" w:rsidRPr="003507B8" w:rsidTr="003507B8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Водокачка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Самарская область, Красноярский район, с. Большая Каменка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1960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31.12.2008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 xml:space="preserve">       10 800,00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 xml:space="preserve">          10 800,00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  <w:r w:rsidRPr="003507B8">
              <w:t>Да</w:t>
            </w:r>
          </w:p>
        </w:tc>
      </w:tr>
      <w:tr w:rsidR="002A1D2D" w:rsidRPr="003507B8" w:rsidTr="003507B8">
        <w:trPr>
          <w:trHeight w:val="315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 xml:space="preserve">  5 317 868,00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 xml:space="preserve">     5 317 868,00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  <w:rPr>
                <w:b/>
                <w:bCs/>
              </w:rPr>
            </w:pPr>
            <w:r w:rsidRPr="003507B8">
              <w:rPr>
                <w:b/>
                <w:bCs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D2D" w:rsidRPr="003507B8" w:rsidRDefault="002A1D2D" w:rsidP="003507B8">
            <w:pPr>
              <w:jc w:val="center"/>
            </w:pPr>
          </w:p>
        </w:tc>
      </w:tr>
    </w:tbl>
    <w:p w:rsidR="002A1D2D" w:rsidRDefault="002A1D2D" w:rsidP="003507B8"/>
    <w:sectPr w:rsidR="002A1D2D" w:rsidSect="003507B8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A3"/>
    <w:rsid w:val="000176C6"/>
    <w:rsid w:val="00085357"/>
    <w:rsid w:val="000B2454"/>
    <w:rsid w:val="000F218D"/>
    <w:rsid w:val="000F71E0"/>
    <w:rsid w:val="00143038"/>
    <w:rsid w:val="00200BDC"/>
    <w:rsid w:val="00237BCC"/>
    <w:rsid w:val="002622CA"/>
    <w:rsid w:val="002A1D2D"/>
    <w:rsid w:val="003070CE"/>
    <w:rsid w:val="00325255"/>
    <w:rsid w:val="00330694"/>
    <w:rsid w:val="00332D53"/>
    <w:rsid w:val="0034292F"/>
    <w:rsid w:val="003507B8"/>
    <w:rsid w:val="00364CA2"/>
    <w:rsid w:val="00381C80"/>
    <w:rsid w:val="003B4D3F"/>
    <w:rsid w:val="003F7BB4"/>
    <w:rsid w:val="00436B37"/>
    <w:rsid w:val="00474A7F"/>
    <w:rsid w:val="00535FBD"/>
    <w:rsid w:val="005423B5"/>
    <w:rsid w:val="005E0C56"/>
    <w:rsid w:val="005E696C"/>
    <w:rsid w:val="005E71C5"/>
    <w:rsid w:val="00662469"/>
    <w:rsid w:val="0067281B"/>
    <w:rsid w:val="006E3292"/>
    <w:rsid w:val="00706B07"/>
    <w:rsid w:val="007310BD"/>
    <w:rsid w:val="0075668F"/>
    <w:rsid w:val="007D7D53"/>
    <w:rsid w:val="008A4D87"/>
    <w:rsid w:val="008A5868"/>
    <w:rsid w:val="008C5682"/>
    <w:rsid w:val="008F468A"/>
    <w:rsid w:val="00914D2B"/>
    <w:rsid w:val="009A5972"/>
    <w:rsid w:val="009A7620"/>
    <w:rsid w:val="009F7328"/>
    <w:rsid w:val="00A1257B"/>
    <w:rsid w:val="00A52A90"/>
    <w:rsid w:val="00AE1CA3"/>
    <w:rsid w:val="00B34897"/>
    <w:rsid w:val="00BA6E49"/>
    <w:rsid w:val="00BB3A70"/>
    <w:rsid w:val="00C01D3B"/>
    <w:rsid w:val="00C0772C"/>
    <w:rsid w:val="00C1258F"/>
    <w:rsid w:val="00C3294A"/>
    <w:rsid w:val="00C43AC0"/>
    <w:rsid w:val="00C536FA"/>
    <w:rsid w:val="00C64B31"/>
    <w:rsid w:val="00CB7C4D"/>
    <w:rsid w:val="00CC4D52"/>
    <w:rsid w:val="00CE65F8"/>
    <w:rsid w:val="00D2734C"/>
    <w:rsid w:val="00D713AA"/>
    <w:rsid w:val="00D73D5F"/>
    <w:rsid w:val="00D946F0"/>
    <w:rsid w:val="00DC5803"/>
    <w:rsid w:val="00DE1A89"/>
    <w:rsid w:val="00E15829"/>
    <w:rsid w:val="00E16800"/>
    <w:rsid w:val="00E454D0"/>
    <w:rsid w:val="00EA7588"/>
    <w:rsid w:val="00EE09C0"/>
    <w:rsid w:val="00EE48A3"/>
    <w:rsid w:val="00F14DFF"/>
    <w:rsid w:val="00F36DF2"/>
    <w:rsid w:val="00F43409"/>
    <w:rsid w:val="00F845DA"/>
    <w:rsid w:val="00FC0969"/>
    <w:rsid w:val="00FE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48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310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310B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B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621</Words>
  <Characters>3546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home</dc:creator>
  <cp:keywords/>
  <dc:description/>
  <cp:lastModifiedBy>Home</cp:lastModifiedBy>
  <cp:revision>4</cp:revision>
  <cp:lastPrinted>2022-11-02T11:00:00Z</cp:lastPrinted>
  <dcterms:created xsi:type="dcterms:W3CDTF">2022-11-24T11:14:00Z</dcterms:created>
  <dcterms:modified xsi:type="dcterms:W3CDTF">2022-11-24T11:55:00Z</dcterms:modified>
</cp:coreProperties>
</file>