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90" w:rsidRDefault="00EA559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A5590" w:rsidRDefault="00EA5590">
      <w:pPr>
        <w:pStyle w:val="ConsPlusNormal"/>
        <w:jc w:val="both"/>
        <w:outlineLvl w:val="0"/>
      </w:pPr>
    </w:p>
    <w:p w:rsidR="00EA5590" w:rsidRDefault="00EA5590">
      <w:pPr>
        <w:pStyle w:val="ConsPlusTitle"/>
        <w:jc w:val="center"/>
      </w:pPr>
      <w:r>
        <w:t>ПРАВИТЕЛЬСТВО САМАРСКОЙ ОБЛАСТИ</w:t>
      </w:r>
    </w:p>
    <w:p w:rsidR="00EA5590" w:rsidRDefault="00EA5590">
      <w:pPr>
        <w:pStyle w:val="ConsPlusTitle"/>
        <w:jc w:val="both"/>
      </w:pPr>
    </w:p>
    <w:p w:rsidR="00EA5590" w:rsidRDefault="00EA5590">
      <w:pPr>
        <w:pStyle w:val="ConsPlusTitle"/>
        <w:jc w:val="center"/>
      </w:pPr>
      <w:r>
        <w:t>ПОСТАНОВЛЕНИЕ</w:t>
      </w:r>
    </w:p>
    <w:p w:rsidR="00EA5590" w:rsidRDefault="00EA5590">
      <w:pPr>
        <w:pStyle w:val="ConsPlusTitle"/>
        <w:jc w:val="center"/>
      </w:pPr>
      <w:r>
        <w:t>от 5 июля 2022 г. N 513</w:t>
      </w:r>
    </w:p>
    <w:p w:rsidR="00EA5590" w:rsidRDefault="00EA5590">
      <w:pPr>
        <w:pStyle w:val="ConsPlusTitle"/>
        <w:jc w:val="both"/>
      </w:pPr>
    </w:p>
    <w:p w:rsidR="00EA5590" w:rsidRDefault="00EA5590">
      <w:pPr>
        <w:pStyle w:val="ConsPlusTitle"/>
        <w:jc w:val="center"/>
      </w:pPr>
      <w:r>
        <w:t xml:space="preserve">О ВНЕСЕНИИ ИЗМЕНЕНИЙ В ПОСТАНОВЛЕНИЕ ПРАВИТЕЛЬСТВА </w:t>
      </w:r>
      <w:proofErr w:type="gramStart"/>
      <w:r>
        <w:t>САМАРСКОЙ</w:t>
      </w:r>
      <w:proofErr w:type="gramEnd"/>
    </w:p>
    <w:p w:rsidR="00EA5590" w:rsidRDefault="00EA5590">
      <w:pPr>
        <w:pStyle w:val="ConsPlusTitle"/>
        <w:jc w:val="center"/>
      </w:pPr>
      <w:r>
        <w:t>ОБЛАСТИ ОТ 30.09.2021 N 743 "ОБ УТВЕРЖДЕНИИ ПОЛОЖЕНИЯ</w:t>
      </w:r>
    </w:p>
    <w:p w:rsidR="00EA5590" w:rsidRDefault="00EA5590">
      <w:pPr>
        <w:pStyle w:val="ConsPlusTitle"/>
        <w:jc w:val="center"/>
      </w:pPr>
      <w:r>
        <w:t>О РЕГИОНАЛЬНОМ ГОСУДАРСТВЕННОМ ЭКОЛОГИЧЕСКОМ КОНТРОЛЕ</w:t>
      </w:r>
    </w:p>
    <w:p w:rsidR="00EA5590" w:rsidRDefault="00EA5590">
      <w:pPr>
        <w:pStyle w:val="ConsPlusTitle"/>
        <w:jc w:val="center"/>
      </w:pPr>
      <w:r>
        <w:t>(</w:t>
      </w:r>
      <w:proofErr w:type="gramStart"/>
      <w:r>
        <w:t>НАДЗОРЕ</w:t>
      </w:r>
      <w:proofErr w:type="gramEnd"/>
      <w:r>
        <w:t>) В ОТНОШЕНИИ ВОДНЫХ ОБЪЕКТОВ, ТЕРРИТОРИЙ ИХ</w:t>
      </w:r>
    </w:p>
    <w:p w:rsidR="00EA5590" w:rsidRDefault="00EA5590">
      <w:pPr>
        <w:pStyle w:val="ConsPlusTitle"/>
        <w:jc w:val="center"/>
      </w:pPr>
      <w:r>
        <w:t>ВОДООХРАННЫХ ЗОН И ПРИБРЕЖНЫХ ЗАЩИТНЫХ ПОЛОС, А ТАКЖЕ</w:t>
      </w:r>
    </w:p>
    <w:p w:rsidR="00EA5590" w:rsidRDefault="00EA5590">
      <w:pPr>
        <w:pStyle w:val="ConsPlusTitle"/>
        <w:jc w:val="center"/>
      </w:pPr>
      <w:r>
        <w:t>ЗА СОБЛЮДЕНИЕМ ОБЯЗАТЕЛЬНЫХ ТРЕБОВАНИЙ В ОБЛАСТИ ОХРАНЫ</w:t>
      </w:r>
    </w:p>
    <w:p w:rsidR="00EA5590" w:rsidRDefault="00EA5590">
      <w:pPr>
        <w:pStyle w:val="ConsPlusTitle"/>
        <w:jc w:val="center"/>
      </w:pPr>
      <w:r>
        <w:t>АТМОСФЕРНОГО ВОЗДУХА, В ОБЛАСТИ ОБРАЩЕНИЯ С ОТХОДАМИ</w:t>
      </w:r>
    </w:p>
    <w:p w:rsidR="00EA5590" w:rsidRDefault="00EA5590">
      <w:pPr>
        <w:pStyle w:val="ConsPlusTitle"/>
        <w:jc w:val="center"/>
      </w:pPr>
      <w:r>
        <w:t xml:space="preserve">В ОТНОШЕНИИ ОБЪЕКТОВ, ПОДЛЕЖАЩИХ </w:t>
      </w:r>
      <w:proofErr w:type="gramStart"/>
      <w:r>
        <w:t>РЕГИОНАЛЬНОМУ</w:t>
      </w:r>
      <w:proofErr w:type="gramEnd"/>
    </w:p>
    <w:p w:rsidR="00EA5590" w:rsidRDefault="00EA5590">
      <w:pPr>
        <w:pStyle w:val="ConsPlusTitle"/>
        <w:jc w:val="center"/>
      </w:pPr>
      <w:r>
        <w:t>ГОСУДАРСТВЕННОМУ ЭКОЛОГИЧЕСКОМУ КОНТРОЛЮ (НАДЗОРУ)"</w:t>
      </w:r>
    </w:p>
    <w:p w:rsidR="00EA5590" w:rsidRDefault="00EA5590">
      <w:pPr>
        <w:pStyle w:val="ConsPlusNormal"/>
        <w:jc w:val="both"/>
      </w:pPr>
    </w:p>
    <w:p w:rsidR="00EA5590" w:rsidRDefault="00EA5590">
      <w:pPr>
        <w:pStyle w:val="ConsPlusNormal"/>
        <w:ind w:firstLine="540"/>
        <w:jc w:val="both"/>
      </w:pPr>
      <w:r>
        <w:t>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w:t>
      </w:r>
    </w:p>
    <w:p w:rsidR="00EA5590" w:rsidRDefault="00EA5590">
      <w:pPr>
        <w:pStyle w:val="ConsPlusNormal"/>
        <w:spacing w:before="220"/>
        <w:ind w:firstLine="540"/>
        <w:jc w:val="both"/>
      </w:pPr>
      <w:r>
        <w:t xml:space="preserve">1. </w:t>
      </w:r>
      <w:proofErr w:type="gramStart"/>
      <w:r>
        <w:t xml:space="preserve">Внести в </w:t>
      </w:r>
      <w:hyperlink r:id="rId6" w:history="1">
        <w:r>
          <w:rPr>
            <w:color w:val="0000FF"/>
          </w:rPr>
          <w:t>постановление</w:t>
        </w:r>
      </w:hyperlink>
      <w:r>
        <w:t xml:space="preserve"> Правительства Самарской области от 30.09.2021 N 743 "Об утверждении Положения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следующие изменения:</w:t>
      </w:r>
      <w:proofErr w:type="gramEnd"/>
    </w:p>
    <w:p w:rsidR="00EA5590" w:rsidRDefault="00EA5590">
      <w:pPr>
        <w:pStyle w:val="ConsPlusNormal"/>
        <w:spacing w:before="220"/>
        <w:ind w:firstLine="540"/>
        <w:jc w:val="both"/>
      </w:pPr>
      <w:r>
        <w:t xml:space="preserve">в </w:t>
      </w:r>
      <w:hyperlink r:id="rId7" w:history="1">
        <w:r>
          <w:rPr>
            <w:color w:val="0000FF"/>
          </w:rPr>
          <w:t>Положении</w:t>
        </w:r>
      </w:hyperlink>
      <w:r>
        <w:t xml:space="preserve">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rsidR="00EA5590" w:rsidRDefault="00EA5590">
      <w:pPr>
        <w:pStyle w:val="ConsPlusNormal"/>
        <w:spacing w:before="220"/>
        <w:ind w:firstLine="540"/>
        <w:jc w:val="both"/>
      </w:pPr>
      <w:hyperlink r:id="rId8" w:history="1">
        <w:r>
          <w:rPr>
            <w:color w:val="0000FF"/>
          </w:rPr>
          <w:t>пункт 3</w:t>
        </w:r>
      </w:hyperlink>
      <w:r>
        <w:t xml:space="preserve"> признать утратившим силу;</w:t>
      </w:r>
    </w:p>
    <w:p w:rsidR="00EA5590" w:rsidRDefault="00EA5590">
      <w:pPr>
        <w:pStyle w:val="ConsPlusNormal"/>
        <w:spacing w:before="220"/>
        <w:ind w:firstLine="540"/>
        <w:jc w:val="both"/>
      </w:pPr>
      <w:hyperlink r:id="rId9" w:history="1">
        <w:r>
          <w:rPr>
            <w:color w:val="0000FF"/>
          </w:rPr>
          <w:t>пункт 17</w:t>
        </w:r>
      </w:hyperlink>
      <w:r>
        <w:t xml:space="preserve"> дополнить подпунктом "д" следующего содержания:</w:t>
      </w:r>
    </w:p>
    <w:p w:rsidR="00EA5590" w:rsidRDefault="00EA5590">
      <w:pPr>
        <w:pStyle w:val="ConsPlusNormal"/>
        <w:spacing w:before="220"/>
        <w:ind w:firstLine="540"/>
        <w:jc w:val="both"/>
      </w:pPr>
      <w:r>
        <w:t>"д) профилактический визит</w:t>
      </w:r>
      <w:proofErr w:type="gramStart"/>
      <w:r>
        <w:t>.";</w:t>
      </w:r>
      <w:proofErr w:type="gramEnd"/>
    </w:p>
    <w:p w:rsidR="00EA5590" w:rsidRDefault="00EA5590">
      <w:pPr>
        <w:pStyle w:val="ConsPlusNormal"/>
        <w:spacing w:before="220"/>
        <w:ind w:firstLine="540"/>
        <w:jc w:val="both"/>
      </w:pPr>
      <w:hyperlink r:id="rId10" w:history="1">
        <w:r>
          <w:rPr>
            <w:color w:val="0000FF"/>
          </w:rPr>
          <w:t>пункт 22</w:t>
        </w:r>
      </w:hyperlink>
      <w:r>
        <w:t xml:space="preserve"> дополнить абзацами следующего содержания:</w:t>
      </w:r>
    </w:p>
    <w:p w:rsidR="00EA5590" w:rsidRDefault="00EA5590">
      <w:pPr>
        <w:pStyle w:val="ConsPlusNormal"/>
        <w:spacing w:before="220"/>
        <w:ind w:firstLine="540"/>
        <w:jc w:val="both"/>
      </w:pPr>
      <w:r>
        <w:t>"Консультирование, в том числе в письменной форме, осуществляется по вопросам соблюдения обязательных требований, указанных в пунктах 2 - 4 настоящего Положения.</w:t>
      </w:r>
    </w:p>
    <w:p w:rsidR="00EA5590" w:rsidRDefault="00EA5590">
      <w:pPr>
        <w:pStyle w:val="ConsPlusNormal"/>
        <w:spacing w:before="220"/>
        <w:ind w:firstLine="540"/>
        <w:jc w:val="both"/>
      </w:pPr>
      <w: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в сети Интернет письменного разъяснения, подписанного уполномоченным должностным лицом министерства</w:t>
      </w:r>
      <w:proofErr w:type="gramStart"/>
      <w:r>
        <w:t>.";</w:t>
      </w:r>
      <w:proofErr w:type="gramEnd"/>
    </w:p>
    <w:p w:rsidR="00EA5590" w:rsidRDefault="00EA5590">
      <w:pPr>
        <w:pStyle w:val="ConsPlusNormal"/>
        <w:spacing w:before="220"/>
        <w:ind w:firstLine="540"/>
        <w:jc w:val="both"/>
      </w:pPr>
      <w:hyperlink r:id="rId11" w:history="1">
        <w:r>
          <w:rPr>
            <w:color w:val="0000FF"/>
          </w:rPr>
          <w:t>пункт 23</w:t>
        </w:r>
      </w:hyperlink>
      <w:r>
        <w:t xml:space="preserve"> изложить в следующей редакции:</w:t>
      </w:r>
    </w:p>
    <w:p w:rsidR="00EA5590" w:rsidRDefault="00EA5590">
      <w:pPr>
        <w:pStyle w:val="ConsPlusNormal"/>
        <w:spacing w:before="220"/>
        <w:ind w:firstLine="540"/>
        <w:jc w:val="both"/>
      </w:pPr>
      <w:r>
        <w:t>"23. Профилактический визит проводится в соответствии с требованиями, установленными статьей 52 Федерального закона.</w:t>
      </w:r>
    </w:p>
    <w:p w:rsidR="00EA5590" w:rsidRDefault="00EA5590">
      <w:pPr>
        <w:pStyle w:val="ConsPlusNormal"/>
        <w:spacing w:before="220"/>
        <w:ind w:firstLine="540"/>
        <w:jc w:val="both"/>
      </w:pPr>
      <w:r>
        <w:t xml:space="preserve">Обязательные профилактические визиты проводятся в отношении контролируемых лиц, </w:t>
      </w:r>
      <w:r>
        <w:lastRenderedPageBreak/>
        <w:t>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EA5590" w:rsidRDefault="00EA5590">
      <w:pPr>
        <w:pStyle w:val="ConsPlusNormal"/>
        <w:spacing w:before="220"/>
        <w:ind w:firstLine="540"/>
        <w:jc w:val="both"/>
      </w:pPr>
      <w:r>
        <w:t>Срок проведения обязательного профилактического визита не может превышать 1 рабочий день.</w:t>
      </w:r>
    </w:p>
    <w:p w:rsidR="00EA5590" w:rsidRDefault="00EA5590">
      <w:pPr>
        <w:pStyle w:val="ConsPlusNormal"/>
        <w:spacing w:before="220"/>
        <w:ind w:firstLine="540"/>
        <w:jc w:val="both"/>
      </w:pPr>
      <w: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EA5590" w:rsidRDefault="00EA5590">
      <w:pPr>
        <w:pStyle w:val="ConsPlusNormal"/>
        <w:spacing w:before="220"/>
        <w:ind w:firstLine="540"/>
        <w:jc w:val="both"/>
      </w:pPr>
      <w:r>
        <w:t xml:space="preserve">О проведении обязательного профилактического визита контролируемое лицо уведомляется контрольным (надзорным) органом не </w:t>
      </w:r>
      <w:proofErr w:type="gramStart"/>
      <w:r>
        <w:t>позднее</w:t>
      </w:r>
      <w:proofErr w:type="gramEnd"/>
      <w:r>
        <w:t xml:space="preserve"> чем за 5 рабочих дней до даты его проведения.</w:t>
      </w:r>
    </w:p>
    <w:p w:rsidR="00EA5590" w:rsidRDefault="00EA5590">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направивший уведомление о проведении обязательного профилактического визита, не </w:t>
      </w:r>
      <w:proofErr w:type="gramStart"/>
      <w:r>
        <w:t>позднее</w:t>
      </w:r>
      <w:proofErr w:type="gramEnd"/>
      <w:r>
        <w:t xml:space="preserve"> чем за 3 рабочих дня до дня его проведения.</w:t>
      </w:r>
    </w:p>
    <w:p w:rsidR="00EA5590" w:rsidRDefault="00EA5590">
      <w:pPr>
        <w:pStyle w:val="ConsPlusNormal"/>
        <w:spacing w:before="220"/>
        <w:ind w:firstLine="540"/>
        <w:jc w:val="both"/>
      </w:pPr>
      <w:r>
        <w:t>При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rsidR="00EA5590" w:rsidRDefault="00EA5590">
      <w:pPr>
        <w:pStyle w:val="ConsPlusNormal"/>
        <w:spacing w:before="220"/>
        <w:ind w:firstLine="540"/>
        <w:jc w:val="both"/>
      </w:pPr>
      <w:r>
        <w:t>В случае если при проведении обязательного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министру для принятия решения о проведении контрольных (надзорных) мероприятий</w:t>
      </w:r>
      <w:proofErr w:type="gramStart"/>
      <w:r>
        <w:t>.";</w:t>
      </w:r>
    </w:p>
    <w:proofErr w:type="gramEnd"/>
    <w:p w:rsidR="00EA5590" w:rsidRDefault="00EA5590">
      <w:pPr>
        <w:pStyle w:val="ConsPlusNormal"/>
        <w:spacing w:before="220"/>
        <w:ind w:firstLine="540"/>
        <w:jc w:val="both"/>
      </w:pPr>
      <w:r>
        <w:fldChar w:fldCharType="begin"/>
      </w:r>
      <w:r>
        <w:instrText xml:space="preserve"> HYPERLINK "consultantplus://offline/ref=5610A6F8F6D52522C39182D8BC97BC05F650EC6F91424BF149A04AC520C624390242E60ED2C605F3AA0531FEA892CAD26E41E5BD059800E23CE89CC2s561H" </w:instrText>
      </w:r>
      <w:r>
        <w:fldChar w:fldCharType="separate"/>
      </w:r>
      <w:r>
        <w:rPr>
          <w:color w:val="0000FF"/>
        </w:rPr>
        <w:t>пункты 24</w:t>
      </w:r>
      <w:r w:rsidRPr="002908EF">
        <w:rPr>
          <w:color w:val="0000FF"/>
        </w:rPr>
        <w:fldChar w:fldCharType="end"/>
      </w:r>
      <w:r>
        <w:t xml:space="preserve">, </w:t>
      </w:r>
      <w:hyperlink r:id="rId12" w:history="1">
        <w:r>
          <w:rPr>
            <w:color w:val="0000FF"/>
          </w:rPr>
          <w:t>25</w:t>
        </w:r>
      </w:hyperlink>
      <w:r>
        <w:t xml:space="preserve"> признать утратившими силу;</w:t>
      </w:r>
    </w:p>
    <w:p w:rsidR="00EA5590" w:rsidRDefault="00EA5590">
      <w:pPr>
        <w:pStyle w:val="ConsPlusNormal"/>
        <w:spacing w:before="220"/>
        <w:ind w:firstLine="540"/>
        <w:jc w:val="both"/>
      </w:pPr>
      <w:hyperlink r:id="rId13" w:history="1">
        <w:r>
          <w:rPr>
            <w:color w:val="0000FF"/>
          </w:rPr>
          <w:t>пункт 47</w:t>
        </w:r>
      </w:hyperlink>
      <w:r>
        <w:t xml:space="preserve"> изложить в следующей редакции:</w:t>
      </w:r>
    </w:p>
    <w:p w:rsidR="00EA5590" w:rsidRDefault="00EA5590">
      <w:pPr>
        <w:pStyle w:val="ConsPlusNormal"/>
        <w:spacing w:before="220"/>
        <w:ind w:firstLine="540"/>
        <w:jc w:val="both"/>
      </w:pPr>
      <w:r>
        <w:t>"47.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w:t>
      </w:r>
    </w:p>
    <w:p w:rsidR="00EA5590" w:rsidRDefault="00EA5590">
      <w:pPr>
        <w:pStyle w:val="ConsPlusNormal"/>
        <w:spacing w:before="220"/>
        <w:ind w:firstLine="540"/>
        <w:jc w:val="both"/>
      </w:pPr>
      <w:r>
        <w:t>Информация о факте проведения фотосъемки и об использованных для этой цели технических средствах отражается в акте контрольного (надзорного) мероприятия.</w:t>
      </w:r>
    </w:p>
    <w:p w:rsidR="00EA5590" w:rsidRDefault="00EA5590">
      <w:pPr>
        <w:pStyle w:val="ConsPlusNormal"/>
        <w:spacing w:before="220"/>
        <w:ind w:firstLine="540"/>
        <w:jc w:val="both"/>
      </w:pPr>
      <w:r>
        <w:t>При фиксации нарушений обязательных требований должно быть сделано не менее двух снимков каждого из выявленных нарушений обязательных требований.</w:t>
      </w:r>
    </w:p>
    <w:p w:rsidR="00EA5590" w:rsidRDefault="00EA5590">
      <w:pPr>
        <w:pStyle w:val="ConsPlusNormal"/>
        <w:spacing w:before="220"/>
        <w:ind w:firstLine="540"/>
        <w:jc w:val="both"/>
      </w:pPr>
      <w:r>
        <w:t>Проведение фотосъемки для фиксации доказательств нарушений обязательных требований осуществляется с обязательным уведомлением контролируемого лица и с учетом требований законодательства Российской Федерации о защите государственной тайны.</w:t>
      </w:r>
    </w:p>
    <w:p w:rsidR="00EA5590" w:rsidRDefault="00EA5590">
      <w:pPr>
        <w:pStyle w:val="ConsPlusNormal"/>
        <w:spacing w:before="220"/>
        <w:ind w:firstLine="540"/>
        <w:jc w:val="both"/>
      </w:pPr>
      <w:r>
        <w:t>Результатом проведения фотосъемки являются снимки, которые прилагаются к акту контрольного (надзорного) мероприятия</w:t>
      </w:r>
      <w:proofErr w:type="gramStart"/>
      <w:r>
        <w:t>.";</w:t>
      </w:r>
      <w:proofErr w:type="gramEnd"/>
    </w:p>
    <w:p w:rsidR="00EA5590" w:rsidRDefault="00EA5590">
      <w:pPr>
        <w:pStyle w:val="ConsPlusNormal"/>
        <w:spacing w:before="220"/>
        <w:ind w:firstLine="540"/>
        <w:jc w:val="both"/>
      </w:pPr>
      <w:hyperlink r:id="rId14" w:history="1">
        <w:r>
          <w:rPr>
            <w:color w:val="0000FF"/>
          </w:rPr>
          <w:t>пункты 48</w:t>
        </w:r>
      </w:hyperlink>
      <w:r>
        <w:t xml:space="preserve"> - </w:t>
      </w:r>
      <w:hyperlink r:id="rId15" w:history="1">
        <w:r>
          <w:rPr>
            <w:color w:val="0000FF"/>
          </w:rPr>
          <w:t>54</w:t>
        </w:r>
      </w:hyperlink>
      <w:r>
        <w:t xml:space="preserve"> признать утратившими силу;</w:t>
      </w:r>
    </w:p>
    <w:p w:rsidR="00EA5590" w:rsidRDefault="00EA5590">
      <w:pPr>
        <w:pStyle w:val="ConsPlusNormal"/>
        <w:spacing w:before="220"/>
        <w:ind w:firstLine="540"/>
        <w:jc w:val="both"/>
      </w:pPr>
      <w:hyperlink r:id="rId16" w:history="1">
        <w:r>
          <w:rPr>
            <w:color w:val="0000FF"/>
          </w:rPr>
          <w:t>пункты 61</w:t>
        </w:r>
      </w:hyperlink>
      <w:r>
        <w:t xml:space="preserve">, </w:t>
      </w:r>
      <w:hyperlink r:id="rId17" w:history="1">
        <w:r>
          <w:rPr>
            <w:color w:val="0000FF"/>
          </w:rPr>
          <w:t>62</w:t>
        </w:r>
      </w:hyperlink>
      <w:r>
        <w:t xml:space="preserve"> изложить в следующей редакции:</w:t>
      </w:r>
    </w:p>
    <w:p w:rsidR="00EA5590" w:rsidRDefault="00EA5590">
      <w:pPr>
        <w:pStyle w:val="ConsPlusNormal"/>
        <w:spacing w:before="220"/>
        <w:ind w:firstLine="540"/>
        <w:jc w:val="both"/>
      </w:pPr>
      <w:r>
        <w:lastRenderedPageBreak/>
        <w:t>"61. Оценка результативности и эффективности деятельности министерства по исполнению полномочий по государственному экологическому контролю (надзору) осуществляется на основе системы показателей результативности и эффективности государственного экологического контроля (надзора) по итогам каждого календарного года.</w:t>
      </w:r>
    </w:p>
    <w:p w:rsidR="00EA5590" w:rsidRDefault="00EA5590">
      <w:pPr>
        <w:pStyle w:val="ConsPlusNormal"/>
        <w:spacing w:before="220"/>
        <w:ind w:firstLine="540"/>
        <w:jc w:val="both"/>
      </w:pPr>
      <w:r>
        <w:t>В систему показателей результативности и эффективности деятельности министерства по исполнению полномочий по государственному экологическому контролю (надзору) входят ключевые показатели и индикативные показатели.</w:t>
      </w:r>
    </w:p>
    <w:p w:rsidR="00EA5590" w:rsidRDefault="00EA5590">
      <w:pPr>
        <w:pStyle w:val="ConsPlusNormal"/>
        <w:spacing w:before="220"/>
        <w:ind w:firstLine="540"/>
        <w:jc w:val="both"/>
      </w:pPr>
      <w:r>
        <w:t>Ключевым показателем результативности осуществления государственного экологического контроля (надзора) является предельно допустимая доля правонарушений, повлекших причинение вреда окружающей среде, в общем числе правонарушений, выявленных в ходе проведения контрольных (надзорных) мероприятий в рамках государственного экологического контроля (надзора). Целевое значение данного показателя составляет 20%.</w:t>
      </w:r>
    </w:p>
    <w:p w:rsidR="00EA5590" w:rsidRDefault="00EA5590">
      <w:pPr>
        <w:pStyle w:val="ConsPlusNormal"/>
        <w:spacing w:before="220"/>
        <w:ind w:firstLine="540"/>
        <w:jc w:val="both"/>
      </w:pPr>
      <w:r>
        <w:t>62. Индикативными показателями результативности осуществления государственного надзора являются:</w:t>
      </w:r>
    </w:p>
    <w:p w:rsidR="00EA5590" w:rsidRDefault="00EA5590">
      <w:pPr>
        <w:pStyle w:val="ConsPlusNormal"/>
        <w:spacing w:before="220"/>
        <w:ind w:firstLine="540"/>
        <w:jc w:val="both"/>
      </w:pPr>
      <w:r>
        <w:t>1) количество плановых контрольных (надзорных) мероприятий, проведенных за отчетный период;</w:t>
      </w:r>
    </w:p>
    <w:p w:rsidR="00EA5590" w:rsidRDefault="00EA5590">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EA5590" w:rsidRDefault="00EA5590">
      <w:pPr>
        <w:pStyle w:val="ConsPlusNormal"/>
        <w:spacing w:before="220"/>
        <w:ind w:firstLine="540"/>
        <w:jc w:val="both"/>
      </w:pPr>
      <w: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этих параметров;</w:t>
      </w:r>
    </w:p>
    <w:p w:rsidR="00EA5590" w:rsidRDefault="00EA5590">
      <w:pPr>
        <w:pStyle w:val="ConsPlusNormal"/>
        <w:spacing w:before="220"/>
        <w:ind w:firstLine="540"/>
        <w:jc w:val="both"/>
      </w:pPr>
      <w:r>
        <w:t>4) общее количество контрольных (надзорных) мероприятий с взаимодействием, проведенных за отчетный период;</w:t>
      </w:r>
    </w:p>
    <w:p w:rsidR="00EA5590" w:rsidRDefault="00EA5590">
      <w:pPr>
        <w:pStyle w:val="ConsPlusNormal"/>
        <w:spacing w:before="22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EA5590" w:rsidRDefault="00EA5590">
      <w:pPr>
        <w:pStyle w:val="ConsPlusNormal"/>
        <w:spacing w:before="22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EA5590" w:rsidRDefault="00EA5590">
      <w:pPr>
        <w:pStyle w:val="ConsPlusNormal"/>
        <w:spacing w:before="220"/>
        <w:ind w:firstLine="540"/>
        <w:jc w:val="both"/>
      </w:pPr>
      <w:r>
        <w:t>7) количество обязательных профилактических визитов, проведенных за отчетный период;</w:t>
      </w:r>
    </w:p>
    <w:p w:rsidR="00EA5590" w:rsidRDefault="00EA5590">
      <w:pPr>
        <w:pStyle w:val="ConsPlusNormal"/>
        <w:spacing w:before="220"/>
        <w:ind w:firstLine="540"/>
        <w:jc w:val="both"/>
      </w:pPr>
      <w:r>
        <w:t>8) количество предостережений о недопустимости нарушения обязательных требований, объявленных за отчетный период;</w:t>
      </w:r>
    </w:p>
    <w:p w:rsidR="00EA5590" w:rsidRDefault="00EA5590">
      <w:pPr>
        <w:pStyle w:val="ConsPlusNormal"/>
        <w:spacing w:before="22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EA5590" w:rsidRDefault="00EA5590">
      <w:pPr>
        <w:pStyle w:val="ConsPlusNormal"/>
        <w:spacing w:before="22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EA5590" w:rsidRDefault="00EA5590">
      <w:pPr>
        <w:pStyle w:val="ConsPlusNormal"/>
        <w:spacing w:before="220"/>
        <w:ind w:firstLine="540"/>
        <w:jc w:val="both"/>
      </w:pPr>
      <w:r>
        <w:t>11) сумма административных штрафов, наложенных по результатам контрольных (надзорных) мероприятий, за отчетный период;</w:t>
      </w:r>
    </w:p>
    <w:p w:rsidR="00EA5590" w:rsidRDefault="00EA5590">
      <w:pPr>
        <w:pStyle w:val="ConsPlusNormal"/>
        <w:spacing w:before="220"/>
        <w:ind w:firstLine="540"/>
        <w:jc w:val="both"/>
      </w:pPr>
      <w:r>
        <w:t>12) количество направленных в органы прокуратуры заявлений о согласовании проведения контрольных (надзорных) мероприятий за отчетный период;</w:t>
      </w:r>
    </w:p>
    <w:p w:rsidR="00EA5590" w:rsidRDefault="00EA5590">
      <w:pPr>
        <w:pStyle w:val="ConsPlusNormal"/>
        <w:spacing w:before="220"/>
        <w:ind w:firstLine="540"/>
        <w:jc w:val="both"/>
      </w:pPr>
      <w: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w:t>
      </w:r>
      <w:r>
        <w:lastRenderedPageBreak/>
        <w:t>согласовании, за отчетный период;</w:t>
      </w:r>
    </w:p>
    <w:p w:rsidR="00EA5590" w:rsidRDefault="00EA5590">
      <w:pPr>
        <w:pStyle w:val="ConsPlusNormal"/>
        <w:spacing w:before="220"/>
        <w:ind w:firstLine="540"/>
        <w:jc w:val="both"/>
      </w:pPr>
      <w:r>
        <w:t>14) общее количество учтенных объектов контроля на конец отчетного периода;</w:t>
      </w:r>
    </w:p>
    <w:p w:rsidR="00EA5590" w:rsidRDefault="00EA5590">
      <w:pPr>
        <w:pStyle w:val="ConsPlusNormal"/>
        <w:spacing w:before="22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EA5590" w:rsidRDefault="00EA5590">
      <w:pPr>
        <w:pStyle w:val="ConsPlusNormal"/>
        <w:spacing w:before="220"/>
        <w:ind w:firstLine="540"/>
        <w:jc w:val="both"/>
      </w:pPr>
      <w:r>
        <w:t>16) количество учтенных контролируемых лиц на конец отчетного периода;</w:t>
      </w:r>
    </w:p>
    <w:p w:rsidR="00EA5590" w:rsidRDefault="00EA5590">
      <w:pPr>
        <w:pStyle w:val="ConsPlusNormal"/>
        <w:spacing w:before="22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EA5590" w:rsidRDefault="00EA5590">
      <w:pPr>
        <w:pStyle w:val="ConsPlusNormal"/>
        <w:spacing w:before="220"/>
        <w:ind w:firstLine="540"/>
        <w:jc w:val="both"/>
      </w:pPr>
      <w:r>
        <w:t>18) общее количество жалоб, поданных контролируемыми лицами в досудебном порядке за отчетный период;</w:t>
      </w:r>
    </w:p>
    <w:p w:rsidR="00EA5590" w:rsidRDefault="00EA5590">
      <w:pPr>
        <w:pStyle w:val="ConsPlusNormal"/>
        <w:spacing w:before="220"/>
        <w:ind w:firstLine="540"/>
        <w:jc w:val="both"/>
      </w:pPr>
      <w:r>
        <w:t>19) количество жалоб, в отношении которых контрольным (надзорным) органом за отчетный период был нарушен срок рассмотрения;</w:t>
      </w:r>
    </w:p>
    <w:p w:rsidR="00EA5590" w:rsidRDefault="00EA5590">
      <w:pPr>
        <w:pStyle w:val="ConsPlusNormal"/>
        <w:spacing w:before="220"/>
        <w:ind w:firstLine="540"/>
        <w:jc w:val="both"/>
      </w:pPr>
      <w:r>
        <w:t xml:space="preserve">20) количество жалоб, поданных за отчетный период контролируемыми лицами в 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(надзорного) органа;</w:t>
      </w:r>
    </w:p>
    <w:p w:rsidR="00EA5590" w:rsidRDefault="00EA5590">
      <w:pPr>
        <w:pStyle w:val="ConsPlusNormal"/>
        <w:spacing w:before="220"/>
        <w:ind w:firstLine="540"/>
        <w:jc w:val="both"/>
      </w:pPr>
      <w:r>
        <w:t xml:space="preserve">21) количество жалоб, поданных контролируемыми лицами в досудебном порядке, по </w:t>
      </w:r>
      <w:proofErr w:type="gramStart"/>
      <w:r>
        <w:t>итогам</w:t>
      </w:r>
      <w:proofErr w:type="gramEnd"/>
      <w:r>
        <w:t xml:space="preserve"> рассмотрения которых принято решение о признании действий (бездействия) должностных лиц контрольных (надзорных) органов неправомерными за отчетный период;</w:t>
      </w:r>
    </w:p>
    <w:p w:rsidR="00EA5590" w:rsidRDefault="00EA5590">
      <w:pPr>
        <w:pStyle w:val="ConsPlusNormal"/>
        <w:spacing w:before="22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за отчетный период в судебном порядке;</w:t>
      </w:r>
    </w:p>
    <w:p w:rsidR="00EA5590" w:rsidRDefault="00EA5590">
      <w:pPr>
        <w:pStyle w:val="ConsPlusNormal"/>
        <w:spacing w:before="220"/>
        <w:ind w:firstLine="540"/>
        <w:jc w:val="both"/>
      </w:pPr>
      <w:r>
        <w:t>23)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A5590" w:rsidRDefault="00EA5590">
      <w:pPr>
        <w:pStyle w:val="ConsPlusNormal"/>
        <w:spacing w:before="220"/>
        <w:ind w:firstLine="540"/>
        <w:jc w:val="both"/>
      </w:pPr>
      <w:r>
        <w:t xml:space="preserve">24) количество контрольных (надзорных) мероприятий, проведенных с нарушением требований к организации и осуществлению государственного контроля (надзора) и </w:t>
      </w:r>
      <w:proofErr w:type="gramStart"/>
      <w:r>
        <w:t>результаты</w:t>
      </w:r>
      <w:proofErr w:type="gramEnd"/>
      <w:r>
        <w:t xml:space="preserve"> которых были признаны недействительными и (или) отменены, за отчетный период.".</w:t>
      </w:r>
    </w:p>
    <w:p w:rsidR="00EA5590" w:rsidRDefault="00EA5590">
      <w:pPr>
        <w:pStyle w:val="ConsPlusNormal"/>
        <w:spacing w:before="220"/>
        <w:ind w:firstLine="540"/>
        <w:jc w:val="both"/>
      </w:pPr>
      <w:r>
        <w:t>2. Опубликовать настоящее Постановление в средствах массовой информации.</w:t>
      </w:r>
    </w:p>
    <w:p w:rsidR="00EA5590" w:rsidRDefault="00EA5590">
      <w:pPr>
        <w:pStyle w:val="ConsPlusNormal"/>
        <w:spacing w:before="220"/>
        <w:ind w:firstLine="540"/>
        <w:jc w:val="both"/>
      </w:pPr>
      <w:r>
        <w:t>3. Настоящее Постановление вступает в силу со дня его официального опубликования.</w:t>
      </w:r>
    </w:p>
    <w:p w:rsidR="00EA5590" w:rsidRDefault="00EA5590">
      <w:pPr>
        <w:pStyle w:val="ConsPlusNormal"/>
        <w:jc w:val="both"/>
      </w:pPr>
    </w:p>
    <w:p w:rsidR="00EA5590" w:rsidRDefault="00EA5590">
      <w:pPr>
        <w:pStyle w:val="ConsPlusNormal"/>
        <w:jc w:val="right"/>
      </w:pPr>
      <w:proofErr w:type="spellStart"/>
      <w:r>
        <w:t>И.о</w:t>
      </w:r>
      <w:proofErr w:type="spellEnd"/>
      <w:r>
        <w:t>. первого вице-губернатора - председателя</w:t>
      </w:r>
    </w:p>
    <w:p w:rsidR="00EA5590" w:rsidRDefault="00EA5590">
      <w:pPr>
        <w:pStyle w:val="ConsPlusNormal"/>
        <w:jc w:val="right"/>
      </w:pPr>
      <w:r>
        <w:t>Правительства Самарской области</w:t>
      </w:r>
    </w:p>
    <w:p w:rsidR="00EA5590" w:rsidRDefault="00EA5590">
      <w:pPr>
        <w:pStyle w:val="ConsPlusNormal"/>
        <w:jc w:val="right"/>
      </w:pPr>
      <w:r>
        <w:t>Н.И.КАТИНА</w:t>
      </w:r>
    </w:p>
    <w:p w:rsidR="00EA5590" w:rsidRDefault="00EA5590">
      <w:pPr>
        <w:pStyle w:val="ConsPlusNormal"/>
        <w:jc w:val="both"/>
      </w:pPr>
    </w:p>
    <w:p w:rsidR="00EA5590" w:rsidRDefault="00EA5590">
      <w:pPr>
        <w:pStyle w:val="ConsPlusNormal"/>
        <w:jc w:val="both"/>
      </w:pPr>
    </w:p>
    <w:p w:rsidR="00EA5590" w:rsidRDefault="00EA5590">
      <w:pPr>
        <w:pStyle w:val="ConsPlusNormal"/>
        <w:pBdr>
          <w:top w:val="single" w:sz="6" w:space="0" w:color="auto"/>
        </w:pBdr>
        <w:spacing w:before="100" w:after="100"/>
        <w:jc w:val="both"/>
        <w:rPr>
          <w:sz w:val="2"/>
          <w:szCs w:val="2"/>
        </w:rPr>
      </w:pPr>
    </w:p>
    <w:p w:rsidR="001B0F2E" w:rsidRDefault="001B0F2E"/>
    <w:sectPr w:rsidR="001B0F2E" w:rsidSect="00EC5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90"/>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765117"/>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EA5590"/>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5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5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0A6F8F6D52522C39182D8BC97BC05F650EC6F91424BF149A04AC520C624390242E60ED2C605F3AA0531F9AE92CAD26E41E5BD059800E23CE89CC2s561H" TargetMode="External"/><Relationship Id="rId13" Type="http://schemas.openxmlformats.org/officeDocument/2006/relationships/hyperlink" Target="consultantplus://offline/ref=5610A6F8F6D52522C39182D8BC97BC05F650EC6F91424BF149A04AC520C624390242E60ED2C605F3AA0530FBAB92CAD26E41E5BD059800E23CE89CC2s561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10A6F8F6D52522C39182D8BC97BC05F650EC6F91424BF149A04AC520C624390242E60ED2C605F3AA0531F9AD92CAD26E41E5BD059800E23CE89CC2s561H" TargetMode="External"/><Relationship Id="rId12" Type="http://schemas.openxmlformats.org/officeDocument/2006/relationships/hyperlink" Target="consultantplus://offline/ref=5610A6F8F6D52522C39182D8BC97BC05F650EC6F91424BF149A04AC520C624390242E60ED2C605F3AA0531FEAB92CAD26E41E5BD059800E23CE89CC2s561H" TargetMode="External"/><Relationship Id="rId17" Type="http://schemas.openxmlformats.org/officeDocument/2006/relationships/hyperlink" Target="consultantplus://offline/ref=5610A6F8F6D52522C39182D8BC97BC05F650EC6F91424BF149A04AC520C624390242E60ED2C605F3AA0530FDAC92CAD26E41E5BD059800E23CE89CC2s561H" TargetMode="External"/><Relationship Id="rId2" Type="http://schemas.microsoft.com/office/2007/relationships/stylesWithEffects" Target="stylesWithEffects.xml"/><Relationship Id="rId16" Type="http://schemas.openxmlformats.org/officeDocument/2006/relationships/hyperlink" Target="consultantplus://offline/ref=5610A6F8F6D52522C39182D8BC97BC05F650EC6F91424BF149A04AC520C624390242E60ED2C605F3AA0530FDAD92CAD26E41E5BD059800E23CE89CC2s561H" TargetMode="External"/><Relationship Id="rId1" Type="http://schemas.openxmlformats.org/officeDocument/2006/relationships/styles" Target="styles.xml"/><Relationship Id="rId6" Type="http://schemas.openxmlformats.org/officeDocument/2006/relationships/hyperlink" Target="consultantplus://offline/ref=5610A6F8F6D52522C39182D8BC97BC05F650EC6F91424BF149A04AC520C624390242E60EC0C65DFFAB062FF8AA879C8328s166H" TargetMode="External"/><Relationship Id="rId11" Type="http://schemas.openxmlformats.org/officeDocument/2006/relationships/hyperlink" Target="consultantplus://offline/ref=5610A6F8F6D52522C39182D8BC97BC05F650EC6F91424BF149A04AC520C624390242E60ED2C605F3AA0531FEA992CAD26E41E5BD059800E23CE89CC2s56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610A6F8F6D52522C39182D8BC97BC05F650EC6F91424BF149A04AC520C624390242E60ED2C605F3AA0530FCAE92CAD26E41E5BD059800E23CE89CC2s561H" TargetMode="External"/><Relationship Id="rId10" Type="http://schemas.openxmlformats.org/officeDocument/2006/relationships/hyperlink" Target="consultantplus://offline/ref=5610A6F8F6D52522C39182D8BC97BC05F650EC6F91424BF149A04AC520C624390242E60ED2C605F3AA0531FEAC92CAD26E41E5BD059800E23CE89CC2s561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10A6F8F6D52522C39182D8BC97BC05F650EC6F91424BF149A04AC520C624390242E60ED2C605F3AA0531FDAF92CAD26E41E5BD059800E23CE89CC2s561H" TargetMode="External"/><Relationship Id="rId14" Type="http://schemas.openxmlformats.org/officeDocument/2006/relationships/hyperlink" Target="consultantplus://offline/ref=5610A6F8F6D52522C39182D8BC97BC05F650EC6F91424BF149A04AC520C624390242E60ED2C605F3AA0530FBAA92CAD26E41E5BD059800E23CE89CC2s56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2022-07-13T08:04:00Z</dcterms:created>
  <dcterms:modified xsi:type="dcterms:W3CDTF">2022-07-13T08:04:00Z</dcterms:modified>
</cp:coreProperties>
</file>