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643D3">
        <w:rPr>
          <w:rFonts w:ascii="Times New Roman" w:hAnsi="Times New Roman" w:cs="Times New Roman"/>
          <w:sz w:val="28"/>
          <w:szCs w:val="28"/>
        </w:rPr>
        <w:t xml:space="preserve"> 1</w:t>
      </w:r>
      <w:r w:rsidR="00BC4F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</w:t>
      </w:r>
      <w:r w:rsidRPr="00425EE4">
        <w:rPr>
          <w:rFonts w:ascii="Times New Roman" w:hAnsi="Times New Roman" w:cs="Times New Roman"/>
          <w:sz w:val="28"/>
          <w:szCs w:val="28"/>
        </w:rPr>
        <w:t>9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777E89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7E89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7E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.02.2020  № </w:t>
      </w:r>
      <w:r w:rsidR="005B0D88" w:rsidRPr="00425EE4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b/>
          <w:sz w:val="26"/>
          <w:szCs w:val="26"/>
        </w:rPr>
        <w:t>Новый Буян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BC4F37">
              <w:rPr>
                <w:rFonts w:ascii="Times New Roman" w:hAnsi="Times New Roman" w:cs="Times New Roman"/>
              </w:rPr>
              <w:t>Новый Буян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E9" w:rsidRDefault="00A634E9" w:rsidP="00BB5FF3">
      <w:r>
        <w:separator/>
      </w:r>
    </w:p>
  </w:endnote>
  <w:endnote w:type="continuationSeparator" w:id="0">
    <w:p w:rsidR="00A634E9" w:rsidRDefault="00A634E9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E9" w:rsidRDefault="00A634E9" w:rsidP="00BB5FF3">
      <w:r>
        <w:separator/>
      </w:r>
    </w:p>
  </w:footnote>
  <w:footnote w:type="continuationSeparator" w:id="0">
    <w:p w:rsidR="00A634E9" w:rsidRDefault="00A634E9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425E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B670-08CE-43D3-BAA6-5FFE5E55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54</cp:revision>
  <cp:lastPrinted>2019-12-17T10:59:00Z</cp:lastPrinted>
  <dcterms:created xsi:type="dcterms:W3CDTF">2019-10-04T04:05:00Z</dcterms:created>
  <dcterms:modified xsi:type="dcterms:W3CDTF">2020-02-19T10:15:00Z</dcterms:modified>
</cp:coreProperties>
</file>