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D8" w:rsidRDefault="005177D8" w:rsidP="005177D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 муниципального земельного контроля</w:t>
      </w:r>
    </w:p>
    <w:p w:rsidR="005177D8" w:rsidRDefault="005177D8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осуществляет полномочия по земельному контролю за использованием земель на территории муниципального района Красноярский в рамках соглашений о передаче полномочий по осуществлению муниципального земельного контроля в границах поселений от 01.01.2016 года, заключённых между Администрациями поселений муниципального района Красноярский Самарской области</w:t>
      </w:r>
      <w:r w:rsidR="00AA154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за исключением Администрации сельского поселения Красный Яр</w:t>
      </w:r>
      <w:r w:rsidR="00AA154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Администрацией муниципального района Красноярский Самарской области, Положением о Комитете по управлению муниципальной собственностью администрации муниципального района Красноярский Самарской области, утверждённ</w:t>
      </w:r>
      <w:r w:rsidR="00361737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решением Собрания представителей муниципального района Красноярский от 27.04.2016 № 13-СП.</w:t>
      </w:r>
    </w:p>
    <w:p w:rsidR="006763F0" w:rsidRDefault="006763F0" w:rsidP="006763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земельный контроль осуществляют специалисты отдела муниципального земельного контроля Комитета.</w:t>
      </w:r>
    </w:p>
    <w:p w:rsidR="005177D8" w:rsidRDefault="005177D8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отдела муниципального земельного контроля Комитета являются:</w:t>
      </w:r>
    </w:p>
    <w:p w:rsidR="005177D8" w:rsidRDefault="005177D8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соблюдения всеми субъектами земельных правоотношений требований земельного законодательства в целях эффективного использования земель на территории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177D8" w:rsidRDefault="005177D8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защита муниципальных и общественных интересов, а также прав граждан и юридических лиц в области землепользования.</w:t>
      </w:r>
    </w:p>
    <w:p w:rsidR="00D05C61" w:rsidRDefault="005177D8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2017 года уполномоченными органами по земельному контролю проведено (Комитет + сельск</w:t>
      </w:r>
      <w:r w:rsidR="00592E1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 поселени</w:t>
      </w:r>
      <w:r w:rsidR="00592E1D">
        <w:rPr>
          <w:rFonts w:ascii="Times New Roman" w:hAnsi="Times New Roman"/>
          <w:sz w:val="28"/>
          <w:szCs w:val="28"/>
        </w:rPr>
        <w:t>е Красный Яр</w:t>
      </w:r>
      <w:r>
        <w:rPr>
          <w:rFonts w:ascii="Times New Roman" w:hAnsi="Times New Roman"/>
          <w:sz w:val="28"/>
          <w:szCs w:val="28"/>
        </w:rPr>
        <w:t>)</w:t>
      </w:r>
      <w:r w:rsidR="00D05C61">
        <w:rPr>
          <w:rFonts w:ascii="Times New Roman" w:hAnsi="Times New Roman"/>
          <w:sz w:val="28"/>
          <w:szCs w:val="28"/>
        </w:rPr>
        <w:t xml:space="preserve"> проделана следующая работа:</w:t>
      </w:r>
    </w:p>
    <w:p w:rsidR="00303CC4" w:rsidRDefault="00303CC4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717C36" w:rsidTr="00717C36">
        <w:tc>
          <w:tcPr>
            <w:tcW w:w="817" w:type="dxa"/>
          </w:tcPr>
          <w:p w:rsidR="00717C36" w:rsidRDefault="00717C36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17C36" w:rsidRDefault="00717C36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8" w:type="dxa"/>
          </w:tcPr>
          <w:p w:rsidR="00717C36" w:rsidRDefault="00717C36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717C36" w:rsidRPr="002334B4" w:rsidRDefault="00717C36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4B4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393" w:type="dxa"/>
          </w:tcPr>
          <w:p w:rsidR="00717C36" w:rsidRDefault="00717C36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  <w:tr w:rsidR="00AF2888" w:rsidTr="00717C36">
        <w:tc>
          <w:tcPr>
            <w:tcW w:w="817" w:type="dxa"/>
          </w:tcPr>
          <w:p w:rsidR="00AF2888" w:rsidRDefault="00AF2888" w:rsidP="00AF28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AF2888" w:rsidRDefault="00AF2888" w:rsidP="00AF28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Проведено проверочных мероприятий соблюдения земельного законодательства</w:t>
            </w:r>
          </w:p>
        </w:tc>
        <w:tc>
          <w:tcPr>
            <w:tcW w:w="2393" w:type="dxa"/>
          </w:tcPr>
          <w:p w:rsidR="00AF2888" w:rsidRPr="002334B4" w:rsidRDefault="00AF2888" w:rsidP="00AF2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4B4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393" w:type="dxa"/>
          </w:tcPr>
          <w:p w:rsidR="00AF2888" w:rsidRDefault="00AF2888" w:rsidP="00532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32D8B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AF2888" w:rsidTr="00717C36">
        <w:tc>
          <w:tcPr>
            <w:tcW w:w="817" w:type="dxa"/>
          </w:tcPr>
          <w:p w:rsidR="00AF2888" w:rsidRDefault="00AF2888" w:rsidP="00AF28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AF2888" w:rsidRDefault="00AF2888" w:rsidP="00AF28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Выявлено нарушений</w:t>
            </w:r>
          </w:p>
        </w:tc>
        <w:tc>
          <w:tcPr>
            <w:tcW w:w="2393" w:type="dxa"/>
          </w:tcPr>
          <w:p w:rsidR="00AF2888" w:rsidRPr="002334B4" w:rsidRDefault="00AF2888" w:rsidP="00AF2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4B4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393" w:type="dxa"/>
          </w:tcPr>
          <w:p w:rsidR="00AF2888" w:rsidRDefault="00AF2888" w:rsidP="00823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36E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AF2888" w:rsidTr="00717C36">
        <w:tc>
          <w:tcPr>
            <w:tcW w:w="817" w:type="dxa"/>
          </w:tcPr>
          <w:p w:rsidR="00AF2888" w:rsidRDefault="00AF2888" w:rsidP="00AF28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AF2888" w:rsidRDefault="00AF2888" w:rsidP="00AF28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Направлено материалов по подведомственности в межмуниципальный отдел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Красноярскому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Елховскому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районам Управления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Росреестра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Самарской области для рассмотрения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вопроса о возбуждении дел об административных правонарушениях</w:t>
            </w:r>
          </w:p>
        </w:tc>
        <w:tc>
          <w:tcPr>
            <w:tcW w:w="2393" w:type="dxa"/>
          </w:tcPr>
          <w:p w:rsidR="00AF2888" w:rsidRPr="002334B4" w:rsidRDefault="0018411F" w:rsidP="00AF2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4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127</w:t>
            </w:r>
          </w:p>
        </w:tc>
        <w:tc>
          <w:tcPr>
            <w:tcW w:w="2393" w:type="dxa"/>
          </w:tcPr>
          <w:p w:rsidR="00AF2888" w:rsidRDefault="008236E5" w:rsidP="00AF28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</w:tr>
      <w:tr w:rsidR="00717C36" w:rsidTr="00717C36">
        <w:tc>
          <w:tcPr>
            <w:tcW w:w="817" w:type="dxa"/>
          </w:tcPr>
          <w:p w:rsidR="00717C36" w:rsidRDefault="00717C36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717C36" w:rsidRDefault="006D024C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Привлечено к ответственности</w:t>
            </w:r>
          </w:p>
        </w:tc>
        <w:tc>
          <w:tcPr>
            <w:tcW w:w="2393" w:type="dxa"/>
          </w:tcPr>
          <w:p w:rsidR="00717C36" w:rsidRPr="002334B4" w:rsidRDefault="00683E58" w:rsidP="001841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4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8411F" w:rsidRPr="002334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717C36" w:rsidRDefault="00AF1953" w:rsidP="00532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32D8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717C36" w:rsidTr="00717C36">
        <w:tc>
          <w:tcPr>
            <w:tcW w:w="817" w:type="dxa"/>
          </w:tcPr>
          <w:p w:rsidR="00717C36" w:rsidRDefault="00717C36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717C36" w:rsidRDefault="00AF1953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наложенных штрафов</w:t>
            </w:r>
          </w:p>
        </w:tc>
        <w:tc>
          <w:tcPr>
            <w:tcW w:w="2393" w:type="dxa"/>
          </w:tcPr>
          <w:p w:rsidR="00717C36" w:rsidRDefault="0018411F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619 336</w:t>
            </w:r>
          </w:p>
        </w:tc>
        <w:tc>
          <w:tcPr>
            <w:tcW w:w="2393" w:type="dxa"/>
          </w:tcPr>
          <w:p w:rsidR="00717C36" w:rsidRDefault="00AF1953" w:rsidP="00D053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</w:t>
            </w:r>
            <w:r w:rsidR="002334B4">
              <w:rPr>
                <w:rFonts w:ascii="Times New Roman" w:hAnsi="Times New Roman"/>
                <w:sz w:val="28"/>
                <w:szCs w:val="28"/>
              </w:rPr>
              <w:t>1</w:t>
            </w:r>
            <w:r w:rsidR="00D053CF">
              <w:rPr>
                <w:rFonts w:ascii="Times New Roman" w:hAnsi="Times New Roman"/>
                <w:sz w:val="28"/>
                <w:szCs w:val="28"/>
              </w:rPr>
              <w:t>6</w:t>
            </w:r>
            <w:r w:rsidR="002334B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 000</w:t>
            </w:r>
          </w:p>
        </w:tc>
      </w:tr>
      <w:tr w:rsidR="00AF1953" w:rsidTr="00717C36">
        <w:tc>
          <w:tcPr>
            <w:tcW w:w="817" w:type="dxa"/>
          </w:tcPr>
          <w:p w:rsidR="00AF1953" w:rsidRDefault="00AF1953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AF1953" w:rsidRDefault="00377AAB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Направлено претензий по взысканию сумм неосновательного обогащения за использование земельных участков и процентов за пользование</w:t>
            </w:r>
          </w:p>
          <w:p w:rsidR="00863492" w:rsidRDefault="00863492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3492" w:rsidRDefault="00863492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сумму</w:t>
            </w:r>
          </w:p>
          <w:p w:rsidR="000A6BB1" w:rsidRDefault="000A6BB1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счёт местного бюджета поступило</w:t>
            </w:r>
          </w:p>
        </w:tc>
        <w:tc>
          <w:tcPr>
            <w:tcW w:w="2393" w:type="dxa"/>
          </w:tcPr>
          <w:p w:rsidR="00AF1953" w:rsidRDefault="0018411F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AF1953" w:rsidRDefault="00532D8B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  <w:p w:rsidR="00863492" w:rsidRDefault="00863492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3492" w:rsidRDefault="00863492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3492" w:rsidRDefault="00863492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3492" w:rsidRDefault="00863492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3492" w:rsidRDefault="00863492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3492" w:rsidRDefault="00863492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3492" w:rsidRDefault="00D053CF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1 512 586</w:t>
            </w:r>
          </w:p>
          <w:p w:rsidR="000A6BB1" w:rsidRDefault="000A6BB1" w:rsidP="00D05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BB1" w:rsidRDefault="00D053CF" w:rsidP="00D053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A6BB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535</w:t>
            </w:r>
            <w:r w:rsidR="000A6BB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</w:tbl>
    <w:p w:rsidR="00D05C61" w:rsidRDefault="00D05C61" w:rsidP="00D05C61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433E" w:rsidRDefault="001A4268" w:rsidP="001A426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проведенных проверок</w:t>
      </w:r>
    </w:p>
    <w:p w:rsidR="00BD433E" w:rsidRDefault="00BD433E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D433E" w:rsidRDefault="00BD433E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433E" w:rsidRDefault="00BD433E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D47" w:rsidRDefault="00B04D47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D47" w:rsidRDefault="00B04D47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D47" w:rsidRDefault="00B04D47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D47" w:rsidRDefault="00B04D47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D47" w:rsidRDefault="00B04D47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D47" w:rsidRDefault="00B04D47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D47" w:rsidRDefault="00B04D47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D47" w:rsidRDefault="00B04D47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D47" w:rsidRDefault="00B04D47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D47" w:rsidRDefault="00B04D47" w:rsidP="00B04D47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Проделанная работа</w:t>
      </w:r>
    </w:p>
    <w:p w:rsidR="00BD433E" w:rsidRDefault="00506487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D433E" w:rsidRDefault="00BD433E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433E" w:rsidRDefault="00BD433E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77D8" w:rsidRDefault="00200BD0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специалистами отдела муниципального земельного контроля Комитета п</w:t>
      </w:r>
      <w:r w:rsidR="005177D8">
        <w:rPr>
          <w:rFonts w:ascii="Times New Roman" w:hAnsi="Times New Roman"/>
          <w:sz w:val="28"/>
          <w:szCs w:val="28"/>
        </w:rPr>
        <w:t>роведено 78 осмотров земельных участков</w:t>
      </w:r>
      <w:r>
        <w:rPr>
          <w:rFonts w:ascii="Times New Roman" w:hAnsi="Times New Roman"/>
          <w:sz w:val="28"/>
          <w:szCs w:val="28"/>
        </w:rPr>
        <w:t>,</w:t>
      </w:r>
      <w:r w:rsidR="005177D8">
        <w:rPr>
          <w:rFonts w:ascii="Times New Roman" w:hAnsi="Times New Roman"/>
          <w:sz w:val="28"/>
          <w:szCs w:val="28"/>
        </w:rPr>
        <w:t xml:space="preserve"> согласно 4 рейдовых заданий, из которых 20 </w:t>
      </w:r>
      <w:r w:rsidR="001A402B">
        <w:rPr>
          <w:rFonts w:ascii="Times New Roman" w:hAnsi="Times New Roman"/>
          <w:sz w:val="28"/>
          <w:szCs w:val="28"/>
        </w:rPr>
        <w:t xml:space="preserve">земельных участков </w:t>
      </w:r>
      <w:r w:rsidR="005177D8">
        <w:rPr>
          <w:rFonts w:ascii="Times New Roman" w:hAnsi="Times New Roman"/>
          <w:sz w:val="28"/>
          <w:szCs w:val="28"/>
        </w:rPr>
        <w:t>относятся к землям сельскохозяйственного назначения. По итогам осмотров юридическим лицам направлено 5 предостережений о недопустимости нарушения обязательных требований.</w:t>
      </w:r>
    </w:p>
    <w:p w:rsidR="005177D8" w:rsidRDefault="005177D8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в рамках осуществления муниципального земельного контроля специалистами отдела за 2017 года проведено более 500 осмотров земельных участков, с целью выявления нарушений для дальнейшего проведения проверок, в рамках рассмотрения заявлений о предоставлении земельных участков, </w:t>
      </w:r>
      <w:r w:rsidR="00187B49">
        <w:rPr>
          <w:rFonts w:ascii="Times New Roman" w:hAnsi="Times New Roman"/>
          <w:sz w:val="28"/>
          <w:szCs w:val="28"/>
        </w:rPr>
        <w:t xml:space="preserve">а также в ходе </w:t>
      </w:r>
      <w:r>
        <w:rPr>
          <w:rFonts w:ascii="Times New Roman" w:hAnsi="Times New Roman"/>
          <w:sz w:val="28"/>
          <w:szCs w:val="28"/>
        </w:rPr>
        <w:t>рассмотрения обращени</w:t>
      </w:r>
      <w:r w:rsidR="00187B4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граждан.</w:t>
      </w:r>
    </w:p>
    <w:p w:rsidR="005177D8" w:rsidRDefault="005177D8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Министерством имущественных отношений Самарской области разработана Методика расчёта прогнозных значений и учёта фактических значений социально-экономического показателя «Эффективность муниципального земельного контроля», утверждённая распоряжением Правительства Самарской области от 22.12.2016 № 988-р.</w:t>
      </w:r>
    </w:p>
    <w:p w:rsidR="005177D8" w:rsidRDefault="005177D8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деятельности Комитета по управлению муниципальной собственностью администрации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по состоянию на 01.</w:t>
      </w:r>
      <w:r w:rsidR="0052765D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.201</w:t>
      </w:r>
      <w:r w:rsidR="0052765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составляет </w:t>
      </w:r>
      <w:r w:rsidR="007F63C2">
        <w:rPr>
          <w:rFonts w:ascii="Times New Roman" w:hAnsi="Times New Roman"/>
          <w:sz w:val="28"/>
          <w:szCs w:val="28"/>
        </w:rPr>
        <w:t>2364</w:t>
      </w:r>
      <w:r>
        <w:rPr>
          <w:rFonts w:ascii="Times New Roman" w:hAnsi="Times New Roman"/>
          <w:sz w:val="28"/>
          <w:szCs w:val="28"/>
        </w:rPr>
        <w:t xml:space="preserve"> единиц, что выше установленного плана проведения мероприятий по осуществлению муниципального земельного контроля</w:t>
      </w:r>
      <w:r w:rsidR="007F63C2">
        <w:rPr>
          <w:rFonts w:ascii="Times New Roman" w:hAnsi="Times New Roman"/>
          <w:sz w:val="28"/>
          <w:szCs w:val="28"/>
        </w:rPr>
        <w:t xml:space="preserve"> 2032 единицы,</w:t>
      </w:r>
      <w:r>
        <w:rPr>
          <w:rFonts w:ascii="Times New Roman" w:hAnsi="Times New Roman"/>
          <w:sz w:val="28"/>
          <w:szCs w:val="28"/>
        </w:rPr>
        <w:t xml:space="preserve"> и составляет 1</w:t>
      </w:r>
      <w:r w:rsidR="007F63C2">
        <w:rPr>
          <w:rFonts w:ascii="Times New Roman" w:hAnsi="Times New Roman"/>
          <w:sz w:val="28"/>
          <w:szCs w:val="28"/>
        </w:rPr>
        <w:t>16,3</w:t>
      </w:r>
      <w:r>
        <w:rPr>
          <w:rFonts w:ascii="Times New Roman" w:hAnsi="Times New Roman"/>
          <w:sz w:val="28"/>
          <w:szCs w:val="28"/>
        </w:rPr>
        <w:t>%.</w:t>
      </w:r>
    </w:p>
    <w:p w:rsidR="003F15BE" w:rsidRDefault="003F15BE" w:rsidP="003F15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2018 год запланировано проведение </w:t>
      </w:r>
      <w:r w:rsidR="007F63C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0 плановых проверок в отношении физических лиц и </w:t>
      </w:r>
      <w:r w:rsidR="007F63C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плановых проверки в отношении юридических лиц и индивидуальных предпринимателей.</w:t>
      </w:r>
    </w:p>
    <w:p w:rsidR="005177D8" w:rsidRDefault="005177D8" w:rsidP="00517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Планируется продолжать осуществление контроля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5177D8" w:rsidRDefault="005177D8" w:rsidP="005177D8">
      <w:pPr>
        <w:spacing w:after="0"/>
        <w:ind w:right="-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333333"/>
          <w:sz w:val="28"/>
          <w:szCs w:val="28"/>
        </w:rPr>
        <w:t>соблюдением условий договоров аренды земельных участков</w:t>
      </w:r>
      <w:r>
        <w:rPr>
          <w:rFonts w:ascii="Times New Roman" w:hAnsi="Times New Roman"/>
          <w:sz w:val="28"/>
          <w:szCs w:val="28"/>
        </w:rPr>
        <w:t>;</w:t>
      </w:r>
    </w:p>
    <w:p w:rsidR="005177D8" w:rsidRDefault="005177D8" w:rsidP="005177D8">
      <w:pPr>
        <w:spacing w:after="0"/>
        <w:ind w:right="-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установленным режимом использования земельных участков в соответствии с их целевым назначением;</w:t>
      </w:r>
    </w:p>
    <w:p w:rsidR="005177D8" w:rsidRDefault="005177D8" w:rsidP="005177D8">
      <w:pPr>
        <w:spacing w:after="0"/>
        <w:ind w:right="-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333333"/>
          <w:sz w:val="28"/>
          <w:szCs w:val="28"/>
        </w:rPr>
        <w:t>соблюдением порядка, исключающего самовольное занятие земельных участков или использование их без оформленных в установленном порядке документов, удостоверяющих право на землю</w:t>
      </w:r>
      <w:r>
        <w:rPr>
          <w:rFonts w:ascii="Times New Roman" w:hAnsi="Times New Roman"/>
          <w:sz w:val="28"/>
          <w:szCs w:val="28"/>
        </w:rPr>
        <w:t>;</w:t>
      </w:r>
    </w:p>
    <w:p w:rsidR="005177D8" w:rsidRDefault="005177D8" w:rsidP="005177D8">
      <w:pPr>
        <w:spacing w:after="0"/>
        <w:ind w:right="-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сроками освоения земельных участков, если такие сроки установлены законодательством РФ.</w:t>
      </w:r>
    </w:p>
    <w:p w:rsidR="005177D8" w:rsidRDefault="005177D8" w:rsidP="005177D8">
      <w:pPr>
        <w:pStyle w:val="ConsPlusNonformat"/>
        <w:spacing w:after="240" w:line="276" w:lineRule="auto"/>
        <w:ind w:right="-2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исполнения предписаний по вопросам соблюдения установленных требований по использованию земель и устранения нарушений в использовании земель, выданных инспекторами по муниципальному земельному контролю.</w:t>
      </w:r>
    </w:p>
    <w:p w:rsidR="002E482A" w:rsidRPr="005177D8" w:rsidRDefault="002E482A" w:rsidP="00517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7D8" w:rsidRPr="005177D8" w:rsidRDefault="005177D8" w:rsidP="00517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7D8" w:rsidRPr="005177D8" w:rsidRDefault="005177D8" w:rsidP="00517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7D8" w:rsidRPr="005177D8" w:rsidRDefault="005177D8" w:rsidP="00517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7D8" w:rsidRPr="005177D8" w:rsidRDefault="005177D8" w:rsidP="00517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177D8" w:rsidRPr="005177D8" w:rsidSect="002E4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177D8"/>
    <w:rsid w:val="000A6BB1"/>
    <w:rsid w:val="000E3C65"/>
    <w:rsid w:val="0018411F"/>
    <w:rsid w:val="00187B49"/>
    <w:rsid w:val="001A402B"/>
    <w:rsid w:val="001A4268"/>
    <w:rsid w:val="00200BD0"/>
    <w:rsid w:val="002334B4"/>
    <w:rsid w:val="0026296C"/>
    <w:rsid w:val="002E482A"/>
    <w:rsid w:val="002F04ED"/>
    <w:rsid w:val="00303CC4"/>
    <w:rsid w:val="00361737"/>
    <w:rsid w:val="00377AAB"/>
    <w:rsid w:val="003E3FFE"/>
    <w:rsid w:val="003F15BE"/>
    <w:rsid w:val="004727EC"/>
    <w:rsid w:val="00506487"/>
    <w:rsid w:val="005177D8"/>
    <w:rsid w:val="0052765D"/>
    <w:rsid w:val="00532D8B"/>
    <w:rsid w:val="00571A78"/>
    <w:rsid w:val="00592E1D"/>
    <w:rsid w:val="00640E41"/>
    <w:rsid w:val="00644849"/>
    <w:rsid w:val="00675A61"/>
    <w:rsid w:val="006763F0"/>
    <w:rsid w:val="0068213E"/>
    <w:rsid w:val="00683E58"/>
    <w:rsid w:val="006D024C"/>
    <w:rsid w:val="00717C36"/>
    <w:rsid w:val="00737D7E"/>
    <w:rsid w:val="007F63C2"/>
    <w:rsid w:val="008236E5"/>
    <w:rsid w:val="00863492"/>
    <w:rsid w:val="008C5D7F"/>
    <w:rsid w:val="009009CA"/>
    <w:rsid w:val="009D25CF"/>
    <w:rsid w:val="00A83AD6"/>
    <w:rsid w:val="00AA1542"/>
    <w:rsid w:val="00AF1953"/>
    <w:rsid w:val="00AF2888"/>
    <w:rsid w:val="00B04D47"/>
    <w:rsid w:val="00B675B8"/>
    <w:rsid w:val="00BC201B"/>
    <w:rsid w:val="00BD433E"/>
    <w:rsid w:val="00CF7973"/>
    <w:rsid w:val="00D053CF"/>
    <w:rsid w:val="00D05C61"/>
    <w:rsid w:val="00D65264"/>
    <w:rsid w:val="00DA645F"/>
    <w:rsid w:val="00FC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177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717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92</c:v>
                </c:pt>
                <c:pt idx="2">
                  <c:v>155</c:v>
                </c:pt>
                <c:pt idx="3">
                  <c:v>259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37060992"/>
        <c:axId val="37074048"/>
      </c:barChart>
      <c:catAx>
        <c:axId val="37060992"/>
        <c:scaling>
          <c:orientation val="minMax"/>
        </c:scaling>
        <c:axPos val="b"/>
        <c:numFmt formatCode="General" sourceLinked="1"/>
        <c:tickLblPos val="nextTo"/>
        <c:crossAx val="37074048"/>
        <c:crosses val="autoZero"/>
        <c:auto val="1"/>
        <c:lblAlgn val="ctr"/>
        <c:lblOffset val="100"/>
      </c:catAx>
      <c:valAx>
        <c:axId val="37074048"/>
        <c:scaling>
          <c:orientation val="minMax"/>
        </c:scaling>
        <c:axPos val="l"/>
        <c:majorGridlines/>
        <c:numFmt formatCode="General" sourceLinked="1"/>
        <c:tickLblPos val="nextTo"/>
        <c:crossAx val="3706099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2143117526975659E-2"/>
          <c:y val="4.4057617797775311E-2"/>
          <c:w val="0.49008019830854493"/>
          <c:h val="0.827050056242969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Проведено проверок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155</c:v>
                </c:pt>
                <c:pt idx="1">
                  <c:v>259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Выявлено нарушений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127</c:v>
                </c:pt>
                <c:pt idx="1">
                  <c:v>135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Привлечено к ответственности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77</c:v>
                </c:pt>
                <c:pt idx="1">
                  <c:v>135</c:v>
                </c:pt>
              </c:numCache>
            </c:numRef>
          </c:val>
        </c:ser>
        <c:axId val="38572416"/>
        <c:axId val="38573952"/>
      </c:barChart>
      <c:catAx>
        <c:axId val="38572416"/>
        <c:scaling>
          <c:orientation val="minMax"/>
        </c:scaling>
        <c:axPos val="b"/>
        <c:numFmt formatCode="General" sourceLinked="1"/>
        <c:tickLblPos val="nextTo"/>
        <c:crossAx val="38573952"/>
        <c:crosses val="autoZero"/>
        <c:auto val="1"/>
        <c:lblAlgn val="ctr"/>
        <c:lblOffset val="100"/>
      </c:catAx>
      <c:valAx>
        <c:axId val="38573952"/>
        <c:scaling>
          <c:orientation val="minMax"/>
        </c:scaling>
        <c:axPos val="l"/>
        <c:majorGridlines/>
        <c:numFmt formatCode="General" sourceLinked="1"/>
        <c:tickLblPos val="nextTo"/>
        <c:crossAx val="38572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620479731700251"/>
          <c:y val="0.392363454568179"/>
          <c:w val="0.36990631379410938"/>
          <c:h val="0.51686007999000128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DExP62</dc:creator>
  <cp:lastModifiedBy>DExP62</cp:lastModifiedBy>
  <cp:revision>4</cp:revision>
  <cp:lastPrinted>2017-11-20T11:23:00Z</cp:lastPrinted>
  <dcterms:created xsi:type="dcterms:W3CDTF">2017-11-20T11:30:00Z</dcterms:created>
  <dcterms:modified xsi:type="dcterms:W3CDTF">2018-04-10T04:22:00Z</dcterms:modified>
</cp:coreProperties>
</file>