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1E" w:rsidRPr="008A65D0" w:rsidRDefault="00245D1E" w:rsidP="00245D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245D1E" w:rsidRPr="008A65D0" w:rsidRDefault="00245D1E" w:rsidP="00245D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района Красноярский Самарской области сообщает о проведении продажи муниципального</w:t>
      </w: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245D1E" w:rsidRDefault="00245D1E" w:rsidP="00245D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245D1E" w:rsidRDefault="00245D1E" w:rsidP="00245D1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45D1E" w:rsidRPr="008A65D0" w:rsidRDefault="00245D1E" w:rsidP="00245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28.08.2019г.</w:t>
      </w: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245D1E" w:rsidRPr="008A65D0" w:rsidTr="00127081">
        <w:trPr>
          <w:trHeight w:val="315"/>
          <w:jc w:val="center"/>
        </w:trPr>
        <w:tc>
          <w:tcPr>
            <w:tcW w:w="4395" w:type="dxa"/>
            <w:vAlign w:val="center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245D1E" w:rsidRPr="008A65D0" w:rsidTr="00127081">
        <w:trPr>
          <w:trHeight w:val="303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245D1E" w:rsidRPr="008A65D0" w:rsidTr="00127081">
        <w:trPr>
          <w:trHeight w:val="270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245D1E" w:rsidRPr="008A65D0" w:rsidTr="00127081">
        <w:trPr>
          <w:trHeight w:val="429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245D1E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Красноярский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с. Красный Яр, пер. Коммунистический, д. 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2-14-64.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  проводится в соответствии с Федеральным законом от 21.12.2001 </w:t>
      </w:r>
      <w:r w:rsidR="00E15B7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решением Собрания Представителей муниципального района Красноярский Самарской области от 19.12.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8 года № 60-СП «Об утверждении п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 района Красноярский Самарской области на 2019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», р</w:t>
      </w:r>
      <w:r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Instructions</w:t>
        </w:r>
        <w:proofErr w:type="spellEnd"/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245D1E" w:rsidRDefault="00245D1E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от 19 августа 2019 года № 266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имущества;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муниципального района Красноярский Самарской области от 19 августа 2019 года № 267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5D1E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D1E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245D1E" w:rsidRPr="005C0A91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транспортное средство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SSANG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YONG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KYRON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C0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C0A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0A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5C0A91">
        <w:rPr>
          <w:rFonts w:ascii="Times New Roman" w:hAnsi="Times New Roman" w:cs="Times New Roman"/>
          <w:sz w:val="24"/>
          <w:szCs w:val="24"/>
        </w:rPr>
        <w:t>0012290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изготовления ТС – </w:t>
      </w:r>
      <w:r w:rsidRPr="005C0A91">
        <w:rPr>
          <w:rFonts w:ascii="Times New Roman" w:hAnsi="Times New Roman" w:cs="Times New Roman"/>
          <w:sz w:val="24"/>
          <w:szCs w:val="24"/>
        </w:rPr>
        <w:t>2011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шасси (рама) </w:t>
      </w:r>
      <w:r>
        <w:rPr>
          <w:rFonts w:ascii="Times New Roman" w:hAnsi="Times New Roman" w:cs="Times New Roman"/>
          <w:sz w:val="24"/>
          <w:szCs w:val="24"/>
          <w:lang w:val="en-US"/>
        </w:rPr>
        <w:t>KPTS</w:t>
      </w:r>
      <w:r w:rsidRPr="005C0A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0A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SBP</w:t>
      </w:r>
      <w:r w:rsidRPr="005C0A91">
        <w:rPr>
          <w:rFonts w:ascii="Times New Roman" w:hAnsi="Times New Roman" w:cs="Times New Roman"/>
          <w:sz w:val="24"/>
          <w:szCs w:val="24"/>
        </w:rPr>
        <w:t>143384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цвет черный, паспорт транспортного средства </w:t>
      </w:r>
      <w:r w:rsidRPr="005C0A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НВ 879103</w:t>
      </w:r>
      <w:r w:rsidRPr="005C0A91">
        <w:rPr>
          <w:rFonts w:ascii="Times New Roman" w:hAnsi="Times New Roman" w:cs="Times New Roman"/>
          <w:sz w:val="24"/>
          <w:szCs w:val="24"/>
        </w:rPr>
        <w:t>;</w:t>
      </w:r>
    </w:p>
    <w:p w:rsidR="00245D1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245D1E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SUBARU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FORESTER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JF</w:t>
      </w:r>
      <w:r w:rsidRPr="005C0A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5C0A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5C0A9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013769,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изготовления ТС – </w:t>
      </w:r>
      <w:r w:rsidRPr="005C0A91">
        <w:rPr>
          <w:rFonts w:ascii="Times New Roman" w:hAnsi="Times New Roman" w:cs="Times New Roman"/>
          <w:sz w:val="24"/>
          <w:szCs w:val="24"/>
        </w:rPr>
        <w:t>2008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цвет серебристый, паспорт транспортного средства </w:t>
      </w:r>
      <w:r w:rsidRPr="005C0A91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УА 105161</w:t>
      </w:r>
      <w:r w:rsidRPr="00B57767">
        <w:rPr>
          <w:rFonts w:ascii="Times New Roman" w:hAnsi="Times New Roman" w:cs="Times New Roman"/>
          <w:sz w:val="24"/>
          <w:szCs w:val="24"/>
        </w:rPr>
        <w:t>.</w:t>
      </w: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Pr="00DB156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C2ECD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501 000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пятьсот одна тысяча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–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582 000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пятьсот восемьдесят две тысячи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245D1E" w:rsidRPr="00DA3206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  <w:r w:rsidRPr="008A65D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gramStart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мин.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 сентября       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14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мин.</w:t>
      </w:r>
      <w:proofErr w:type="gramEnd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сентября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 </w:t>
      </w:r>
      <w:r w:rsidRPr="0046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proofErr w:type="gramStart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 мин.</w:t>
      </w:r>
      <w:proofErr w:type="gramEnd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октября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 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45D1E" w:rsidRPr="008A65D0" w:rsidRDefault="00245D1E" w:rsidP="00245D1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5D1E" w:rsidRPr="008A65D0" w:rsidRDefault="00245D1E" w:rsidP="00245D1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245D1E" w:rsidRPr="00A06E46" w:rsidRDefault="00245D1E" w:rsidP="00245D1E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proofErr w:type="spellEnd"/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 – 100 200 (сто тысяч двести рублей) 00 копеек.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2 – 116 400 (сто шестнадцать тысяч четыреста рублей) 00 копеек.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 сентября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сроки</w:t>
      </w:r>
      <w:proofErr w:type="gramEnd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127081">
        <w:tc>
          <w:tcPr>
            <w:tcW w:w="4927" w:type="dxa"/>
            <w:shd w:val="clear" w:color="auto" w:fill="auto"/>
            <w:vAlign w:val="center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№ ___, лот(ы)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</w:t>
      </w:r>
      <w:bookmarkStart w:id="0" w:name="_GoBack"/>
      <w:bookmarkEnd w:id="0"/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5D1E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  <w:r w:rsidRPr="00A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1E" w:rsidRPr="00A407DB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осмотра имущества претендентам следует обращаться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МКУ ХЭС администрации</w:t>
      </w:r>
      <w:r w:rsidRPr="00A40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по телефону 8(84657)2-21-41 (Мясников Дмитрий Владимирович).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Комитете по управлению муниципальной собственностью администрации 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район, с. Красный Яр, ул. Комсомольская, д. 92 А, кабинет 320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</w:t>
      </w:r>
      <w:r>
        <w:rPr>
          <w:rFonts w:ascii="Times New Roman" w:eastAsia="Times New Roman" w:hAnsi="Times New Roman" w:cs="Times New Roman"/>
          <w:sz w:val="24"/>
          <w:szCs w:val="24"/>
        </w:rPr>
        <w:t>местное), тел. 8846572-19-51.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proofErr w:type="gram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универсальная</w:t>
      </w:r>
      <w:proofErr w:type="gram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245D1E" w:rsidRPr="008A65D0" w:rsidRDefault="00245D1E" w:rsidP="00245D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45D1E" w:rsidRPr="008A65D0" w:rsidRDefault="00245D1E" w:rsidP="00245D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245D1E" w:rsidRPr="008A65D0" w:rsidRDefault="00245D1E" w:rsidP="00245D1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245D1E" w:rsidRPr="008A65D0" w:rsidRDefault="00245D1E" w:rsidP="00245D1E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45D1E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25 050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(двадцать пять тысяч пятьдесят рублей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45D1E" w:rsidRPr="002F2779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29 100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двадцать девять тысяч сто рублей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245D1E" w:rsidRPr="008A65D0" w:rsidRDefault="00245D1E" w:rsidP="00245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имущества, подписывается продавцом в течение одного часа со времени получения электронного журнала.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45D1E" w:rsidRPr="008A65D0" w:rsidRDefault="00245D1E" w:rsidP="00245D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45D1E" w:rsidRPr="008A65D0" w:rsidRDefault="00245D1E" w:rsidP="00245D1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245D1E" w:rsidRPr="00160F7C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245D1E" w:rsidRPr="008A65D0" w:rsidRDefault="00245D1E" w:rsidP="00245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245D1E" w:rsidRPr="00AF7492" w:rsidRDefault="00245D1E" w:rsidP="00245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торги не проводились.</w:t>
      </w:r>
    </w:p>
    <w:p w:rsidR="00231DD4" w:rsidRDefault="00231DD4" w:rsidP="00245D1E"/>
    <w:sectPr w:rsidR="0023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1E"/>
    <w:rsid w:val="00231DD4"/>
    <w:rsid w:val="00245D1E"/>
    <w:rsid w:val="00E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9FD-A085-42B2-95DF-CA33689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1E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2019-08-28T10:10:00Z</dcterms:created>
  <dcterms:modified xsi:type="dcterms:W3CDTF">2019-08-29T04:51:00Z</dcterms:modified>
</cp:coreProperties>
</file>