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 w:rsidRPr="000B36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64B">
        <w:rPr>
          <w:i w:val="0"/>
          <w:iCs/>
          <w:noProof/>
          <w:sz w:val="36"/>
          <w:szCs w:val="36"/>
        </w:rPr>
        <w:t>АДМИНИСТРАЦИЯ</w:t>
      </w:r>
    </w:p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САМАРСКОЙ ОБЛАСТИ</w:t>
      </w:r>
    </w:p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1353E0" w:rsidRPr="000B364B" w:rsidRDefault="001353E0" w:rsidP="001353E0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0B364B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1353E0" w:rsidRDefault="001353E0" w:rsidP="001353E0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1F78BA" w:rsidRPr="000B364B" w:rsidRDefault="001F78BA" w:rsidP="001353E0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1353E0" w:rsidRPr="000B364B" w:rsidRDefault="001353E0" w:rsidP="001353E0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1F78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22.12.2022</w:t>
      </w:r>
      <w:r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1F78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349</w:t>
      </w:r>
    </w:p>
    <w:bookmarkEnd w:id="0"/>
    <w:p w:rsidR="001353E0" w:rsidRDefault="001353E0" w:rsidP="001353E0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1F78BA" w:rsidRPr="000B364B" w:rsidRDefault="001F78BA" w:rsidP="001353E0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1353E0" w:rsidRPr="000B364B" w:rsidRDefault="001353E0" w:rsidP="001353E0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муниципальную программу «Формирование комфортной городской среды муниципального района </w:t>
      </w:r>
      <w:proofErr w:type="gramStart"/>
      <w:r w:rsidRPr="000B364B">
        <w:rPr>
          <w:rFonts w:ascii="Times New Roman" w:hAnsi="Times New Roman" w:cs="Times New Roman"/>
          <w:b/>
          <w:color w:val="auto"/>
          <w:sz w:val="28"/>
          <w:szCs w:val="27"/>
        </w:rPr>
        <w:t>Красноярский</w:t>
      </w:r>
      <w:proofErr w:type="gramEnd"/>
      <w:r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Самарской области на 2018-2024 годы», утверждённую постановлением администрации муниципального района Красноярский Самарской области от 28.12.2017 № 1284 </w:t>
      </w:r>
    </w:p>
    <w:p w:rsidR="001353E0" w:rsidRDefault="001353E0" w:rsidP="001353E0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B01950" w:rsidRPr="000B364B" w:rsidRDefault="00B01950" w:rsidP="001353E0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1353E0" w:rsidRPr="000B364B" w:rsidRDefault="001353E0" w:rsidP="001353E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554868">
        <w:rPr>
          <w:rFonts w:ascii="Times New Roman" w:hAnsi="Times New Roman" w:cs="Times New Roman"/>
          <w:b w:val="0"/>
          <w:sz w:val="28"/>
          <w:szCs w:val="27"/>
        </w:rPr>
        <w:t xml:space="preserve"> протоколом расширенного заседания межведомственной комиссии по обеспечению реализации федерального проекта «Формирование </w:t>
      </w:r>
      <w:r w:rsidR="00554868" w:rsidRPr="000B364B">
        <w:rPr>
          <w:rFonts w:ascii="Times New Roman" w:hAnsi="Times New Roman" w:cs="Times New Roman"/>
          <w:b w:val="0"/>
          <w:sz w:val="28"/>
          <w:szCs w:val="27"/>
        </w:rPr>
        <w:t>комфортной городской среды</w:t>
      </w:r>
      <w:r w:rsidR="00554868">
        <w:rPr>
          <w:rFonts w:ascii="Times New Roman" w:hAnsi="Times New Roman" w:cs="Times New Roman"/>
          <w:b w:val="0"/>
          <w:sz w:val="28"/>
          <w:szCs w:val="27"/>
        </w:rPr>
        <w:t xml:space="preserve">» на территории Самарской области под председательством исполняющего </w:t>
      </w:r>
      <w:proofErr w:type="gramStart"/>
      <w:r w:rsidR="00554868">
        <w:rPr>
          <w:rFonts w:ascii="Times New Roman" w:hAnsi="Times New Roman" w:cs="Times New Roman"/>
          <w:b w:val="0"/>
          <w:sz w:val="28"/>
          <w:szCs w:val="27"/>
        </w:rPr>
        <w:t>обязанности заместителя председателя Правительства Самарской области</w:t>
      </w:r>
      <w:proofErr w:type="gramEnd"/>
      <w:r w:rsidR="00554868">
        <w:rPr>
          <w:rFonts w:ascii="Times New Roman" w:hAnsi="Times New Roman" w:cs="Times New Roman"/>
          <w:b w:val="0"/>
          <w:sz w:val="28"/>
          <w:szCs w:val="27"/>
        </w:rPr>
        <w:t xml:space="preserve"> И.И.Пивкина от 30.08.2022 № АК-4,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7D6D2C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№ 20-СП, Администрация муниципального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lastRenderedPageBreak/>
        <w:t>района Красноярский Самарской области ПОСТАНОВЛЯЕТ:</w:t>
      </w:r>
    </w:p>
    <w:p w:rsidR="001353E0" w:rsidRDefault="001353E0" w:rsidP="001353E0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1. </w:t>
      </w:r>
      <w:proofErr w:type="gramStart"/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 </w:t>
      </w:r>
      <w:r w:rsidR="005E546D">
        <w:rPr>
          <w:rFonts w:ascii="Times New Roman" w:hAnsi="Times New Roman" w:cs="Times New Roman"/>
          <w:b w:val="0"/>
          <w:sz w:val="28"/>
          <w:szCs w:val="27"/>
        </w:rPr>
        <w:t xml:space="preserve">                   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№ 1284 (с изменениями от 29.03.2018 № 74, от 10.10.2018 № 275, от 29.03.2019 № 114, от 30.09.2019 № 298, от 14.02.2020 № 36, от 02.04.2020 </w:t>
      </w:r>
      <w:r w:rsidR="00921D52">
        <w:rPr>
          <w:rFonts w:ascii="Times New Roman" w:hAnsi="Times New Roman" w:cs="Times New Roman"/>
          <w:b w:val="0"/>
          <w:sz w:val="28"/>
          <w:szCs w:val="27"/>
        </w:rPr>
        <w:t xml:space="preserve">                  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№ 94, от 28.01.2021 № 13, от 01.03.2021 № 46, от 23.12.2021 № 383</w:t>
      </w:r>
      <w:r w:rsidR="001F78BA">
        <w:rPr>
          <w:rFonts w:ascii="Times New Roman" w:hAnsi="Times New Roman" w:cs="Times New Roman"/>
          <w:b w:val="0"/>
          <w:sz w:val="28"/>
          <w:szCs w:val="27"/>
        </w:rPr>
        <w:t xml:space="preserve">, от 02.09.2022   </w:t>
      </w:r>
      <w:r w:rsidR="001611D6">
        <w:rPr>
          <w:rFonts w:ascii="Times New Roman" w:hAnsi="Times New Roman" w:cs="Times New Roman"/>
          <w:b w:val="0"/>
          <w:sz w:val="28"/>
          <w:szCs w:val="27"/>
        </w:rPr>
        <w:t xml:space="preserve"> № 216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)</w:t>
      </w:r>
      <w:r w:rsidR="007D6D2C">
        <w:rPr>
          <w:rFonts w:ascii="Times New Roman" w:hAnsi="Times New Roman" w:cs="Times New Roman"/>
          <w:b w:val="0"/>
          <w:sz w:val="28"/>
          <w:szCs w:val="27"/>
        </w:rPr>
        <w:t xml:space="preserve"> (д</w:t>
      </w:r>
      <w:r w:rsidR="001F78BA">
        <w:rPr>
          <w:rFonts w:ascii="Times New Roman" w:hAnsi="Times New Roman" w:cs="Times New Roman"/>
          <w:b w:val="0"/>
          <w:sz w:val="28"/>
          <w:szCs w:val="27"/>
        </w:rPr>
        <w:t>алее</w:t>
      </w:r>
      <w:proofErr w:type="gramEnd"/>
      <w:r w:rsidR="001F78BA">
        <w:rPr>
          <w:rFonts w:ascii="Times New Roman" w:hAnsi="Times New Roman" w:cs="Times New Roman"/>
          <w:b w:val="0"/>
          <w:sz w:val="28"/>
          <w:szCs w:val="27"/>
        </w:rPr>
        <w:t xml:space="preserve"> – муниципальная программа)</w:t>
      </w:r>
      <w:r w:rsidR="007D6D2C">
        <w:rPr>
          <w:rFonts w:ascii="Times New Roman" w:hAnsi="Times New Roman" w:cs="Times New Roman"/>
          <w:b w:val="0"/>
          <w:sz w:val="28"/>
          <w:szCs w:val="27"/>
        </w:rPr>
        <w:t>,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следующие изменения:</w:t>
      </w:r>
    </w:p>
    <w:p w:rsidR="00923CBC" w:rsidRPr="000B364B" w:rsidRDefault="00923CBC" w:rsidP="00923CB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293116" w:rsidRDefault="00293116" w:rsidP="0029311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7D6D2C" w:rsidRPr="000B364B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D6D2C" w:rsidRPr="000B364B" w:rsidRDefault="007D6D2C" w:rsidP="00042CA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6"/>
        <w:tblW w:w="0" w:type="auto"/>
        <w:tblLook w:val="04A0"/>
      </w:tblPr>
      <w:tblGrid>
        <w:gridCol w:w="4077"/>
        <w:gridCol w:w="5212"/>
      </w:tblGrid>
      <w:tr w:rsidR="007D6D2C" w:rsidRPr="000B364B" w:rsidTr="00FB0435">
        <w:tc>
          <w:tcPr>
            <w:tcW w:w="4077" w:type="dxa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21 436,1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22 699,1 тыс. руб.,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20 647,1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0B364B" w:rsidTr="00FB0435">
        <w:tc>
          <w:tcPr>
            <w:tcW w:w="4077" w:type="dxa"/>
            <w:shd w:val="clear" w:color="auto" w:fill="FFFFFF" w:themeFill="background1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D6D2C" w:rsidRPr="000B364B" w:rsidRDefault="007D6D2C" w:rsidP="00B0195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  <w:r w:rsidR="00B01950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                              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17 579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D6D2C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20 169 тыс. руб., в том числе</w:t>
            </w:r>
          </w:p>
          <w:p w:rsidR="007D6D2C" w:rsidRPr="009B53E7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</w:t>
            </w:r>
            <w:r w:rsidR="00F222D2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и областного бюджетов – 18 793</w:t>
            </w: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:rsidR="007D6D2C" w:rsidRPr="000B364B" w:rsidRDefault="00F222D2" w:rsidP="00FB0435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28 329</w:t>
            </w:r>
            <w:r w:rsidR="007D6D2C"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7D6D2C" w:rsidRPr="000B364B" w:rsidTr="00FB0435">
        <w:tc>
          <w:tcPr>
            <w:tcW w:w="4077" w:type="dxa"/>
            <w:vAlign w:val="center"/>
          </w:tcPr>
          <w:p w:rsidR="007D6D2C" w:rsidRPr="000B364B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D6D2C" w:rsidRPr="000B364B" w:rsidRDefault="007D6D2C" w:rsidP="00FB0435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D6D2C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8075B3" w:rsidRDefault="008075B3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bookmarkStart w:id="1" w:name="_GoBack"/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в разделе 7 «Перечень мероприятий Программы» перечень дворовых </w:t>
      </w:r>
      <w:bookmarkEnd w:id="1"/>
      <w:r w:rsidRPr="000B364B">
        <w:rPr>
          <w:rFonts w:ascii="Times New Roman" w:hAnsi="Times New Roman" w:cs="Times New Roman"/>
          <w:b w:val="0"/>
          <w:sz w:val="28"/>
          <w:szCs w:val="27"/>
        </w:rPr>
        <w:t>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в соответствии с приложениями 3 и 4 к настоящему постановлению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1353E0" w:rsidRPr="000B364B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="001E55E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М.В.Белоусов</w:t>
      </w:r>
    </w:p>
    <w:p w:rsidR="001353E0" w:rsidRPr="000B364B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611D6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F5E4A" w:rsidRDefault="001353E0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5E4A" w:rsidSect="005E546D">
          <w:headerReference w:type="default" r:id="rId9"/>
          <w:headerReference w:type="first" r:id="rId10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262F7E" w:rsidRPr="000B364B" w:rsidRDefault="00262F7E" w:rsidP="00262F7E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F78BA">
        <w:rPr>
          <w:rFonts w:ascii="Times New Roman" w:hAnsi="Times New Roman" w:cs="Times New Roman"/>
          <w:color w:val="auto"/>
          <w:sz w:val="28"/>
          <w:szCs w:val="28"/>
        </w:rPr>
        <w:t>22.12.2022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F78BA">
        <w:rPr>
          <w:rFonts w:ascii="Times New Roman" w:hAnsi="Times New Roman" w:cs="Times New Roman"/>
          <w:color w:val="auto"/>
          <w:sz w:val="28"/>
          <w:szCs w:val="28"/>
        </w:rPr>
        <w:t>349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62F7E" w:rsidRPr="000B364B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«ПАСПОРТ</w:t>
      </w:r>
    </w:p>
    <w:p w:rsidR="00262F7E" w:rsidRPr="000B364B" w:rsidRDefault="00262F7E" w:rsidP="00262F7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ПРОГРАММЫ</w:t>
      </w:r>
    </w:p>
    <w:p w:rsidR="00262F7E" w:rsidRPr="000B364B" w:rsidRDefault="00262F7E" w:rsidP="00262F7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830"/>
        <w:gridCol w:w="6200"/>
      </w:tblGrid>
      <w:tr w:rsidR="00262F7E" w:rsidRPr="000B364B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262F7E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Формирование комфортной городской среды муниципального района Красноярский Самарской области на 2018-2024 годы</w:t>
            </w:r>
          </w:p>
        </w:tc>
      </w:tr>
      <w:tr w:rsidR="00262F7E" w:rsidRPr="000B364B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16.10.2017 (</w:t>
            </w:r>
            <w:r w:rsidRPr="00DF261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поручение временно исполняющего обязанности Губернатора С</w:t>
            </w:r>
            <w:r w:rsidR="00F222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амарской области от 16.10.2017 №</w:t>
            </w:r>
            <w:r w:rsidRPr="00DF261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1-11/1392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262F7E" w:rsidRPr="000B364B" w:rsidTr="00FB0435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ОСНОВАНИЯ ДЛЯ РАЗРАБОТКИ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tabs>
                <w:tab w:val="left" w:pos="163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Федеральный закон от 06.10.2003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№ 131-Ф3 «Об общих принципах организации местного самоуправления в Российской Федерации»;</w:t>
            </w:r>
          </w:p>
          <w:p w:rsidR="00262F7E" w:rsidRPr="000B364B" w:rsidRDefault="00262F7E" w:rsidP="00FB0435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262F7E" w:rsidRPr="000B364B" w:rsidRDefault="00262F7E" w:rsidP="00FB0435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262F7E" w:rsidRPr="000B364B" w:rsidRDefault="00262F7E" w:rsidP="00FB0435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262F7E" w:rsidRPr="000B364B" w:rsidRDefault="00262F7E" w:rsidP="00FB0435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62F7E" w:rsidRPr="000B364B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Администрация муниципального района Красноярский Самарской области в лице                         МКУ – управление строительства и </w:t>
            </w:r>
            <w:proofErr w:type="spell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жилищно</w:t>
            </w:r>
            <w:proofErr w:type="spell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62F7E" w:rsidRPr="000B364B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ЦЕЛЬ 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Повышение уровня благоустройства дворовых территорий многоквартирных домов и общественных территорий муниципального района Красноярский Самарской области в 2018-2024 годах</w:t>
            </w:r>
          </w:p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62F7E" w:rsidRPr="000B364B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дворовых территорий многоквартирных домов муниципального района Красноярский Самарской области;</w:t>
            </w:r>
          </w:p>
          <w:p w:rsidR="00262F7E" w:rsidRPr="000B364B" w:rsidRDefault="00262F7E" w:rsidP="00FB0435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общественных территорий муниципального района Красноярский Самарской области;</w:t>
            </w:r>
          </w:p>
          <w:p w:rsidR="00262F7E" w:rsidRPr="000B364B" w:rsidRDefault="00262F7E" w:rsidP="00FB0435">
            <w:pPr>
              <w:tabs>
                <w:tab w:val="left" w:pos="43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  <w:p w:rsidR="00262F7E" w:rsidRPr="000B364B" w:rsidRDefault="00262F7E" w:rsidP="00FB0435">
            <w:pPr>
              <w:tabs>
                <w:tab w:val="left" w:pos="43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62F7E" w:rsidRPr="000B364B" w:rsidTr="00FB0435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ПОКАЗАТЕЛИ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(ИНДИКАТОРЫ) МУНИЦИПАЛЬНОЙ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нарастающим итогом)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 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 Количество граждан, принявших участие в благоустройстве дворовых территорий муниципального района Красноярский Самарской области.</w:t>
            </w:r>
          </w:p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262F7E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6.  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62F7E" w:rsidRPr="000B364B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ЭТАПЫ И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СРОК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РЕАЛИЗАЦИИ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ПРОГРАММЫ</w:t>
            </w:r>
          </w:p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2018-2024 годы, разделение </w:t>
            </w:r>
            <w:r w:rsidRPr="001C09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 программы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этапы не предусмотрено</w:t>
            </w:r>
          </w:p>
        </w:tc>
      </w:tr>
      <w:tr w:rsidR="00262F7E" w:rsidRPr="000B364B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МЕРОПРИЯТИЙ 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Планируемый объем и источники финансирования </w:t>
            </w:r>
            <w:r w:rsidRPr="001C09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 программы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2018-2024 годы составляет: </w:t>
            </w:r>
            <w:r w:rsidR="009034DC" w:rsidRPr="005F5EC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137 294</w:t>
            </w: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 руб., в том числе: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="009034DC" w:rsidRPr="005F5EC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</w:t>
            </w:r>
            <w:r w:rsidR="006C330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="009034DC" w:rsidRPr="005F5EC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,2</w:t>
            </w: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262F7E" w:rsidRDefault="00F222D2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18 793</w:t>
            </w:r>
            <w:r w:rsidR="00262F7E"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</w:t>
            </w:r>
            <w:r w:rsidR="00262F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– </w:t>
            </w:r>
            <w:r w:rsidR="009034DC" w:rsidRPr="005F5EC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39 44</w:t>
            </w:r>
            <w:r w:rsidR="00491F3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="009034DC" w:rsidRPr="005F5EC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,8</w:t>
            </w:r>
            <w:r w:rsidR="009034D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</w:t>
            </w: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руб., из них: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 тыс. руб.;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 тыс. руб.;</w:t>
            </w:r>
          </w:p>
          <w:p w:rsidR="00262F7E" w:rsidRPr="002C0A09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 тыс. руб.;</w:t>
            </w:r>
          </w:p>
          <w:p w:rsidR="00262F7E" w:rsidRPr="002C0A09" w:rsidRDefault="00491F3A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1 376</w:t>
            </w:r>
            <w:r w:rsidR="00262F7E"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тыс. руб.;</w:t>
            </w:r>
          </w:p>
          <w:p w:rsidR="00262F7E" w:rsidRDefault="00B93123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28 329</w:t>
            </w:r>
            <w:r w:rsidR="00262F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262F7E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 тыс. руб.</w:t>
            </w:r>
          </w:p>
          <w:p w:rsidR="00262F7E" w:rsidRPr="000B364B" w:rsidRDefault="00262F7E" w:rsidP="00FB0435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62F7E" w:rsidRPr="000B364B" w:rsidTr="00FB0435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B364B" w:rsidRDefault="00262F7E" w:rsidP="00FB0435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общего уровня благоустройства дворовых территорий муниципального района Красноярский Самарской области;</w:t>
            </w:r>
          </w:p>
          <w:p w:rsidR="00262F7E" w:rsidRPr="000B364B" w:rsidRDefault="00262F7E" w:rsidP="00FB0435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повышение общего уровня благоустройства общественных территорий муниципального района Красноярский Самарской области;</w:t>
            </w:r>
          </w:p>
          <w:p w:rsidR="00262F7E" w:rsidRPr="000B364B" w:rsidRDefault="00262F7E" w:rsidP="00FB0435">
            <w:pPr>
              <w:tabs>
                <w:tab w:val="left" w:pos="43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вовлечение физических и юридических лиц в реализацию мероприятий по благоустройству дворовых и общественных территорий м</w:t>
            </w:r>
            <w:r w:rsidR="00FB043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униципального района Красноярский Самарской области</w:t>
            </w:r>
          </w:p>
        </w:tc>
      </w:tr>
      <w:tr w:rsidR="00262F7E" w:rsidRPr="000B364B" w:rsidTr="00FB0435">
        <w:trPr>
          <w:trHeight w:val="3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630EC3" w:rsidRDefault="00262F7E" w:rsidP="00FB04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630E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ИСТЕМА ОРГАНИЗАЦИИ КОНТРОЛЯ ЗА ИСПОЛНЕНИЕМ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7E" w:rsidRPr="00045E5F" w:rsidRDefault="00262F7E" w:rsidP="00FB0435">
            <w:pPr>
              <w:spacing w:line="276" w:lineRule="auto"/>
              <w:ind w:left="284" w:right="284"/>
            </w:pPr>
            <w:r w:rsidRPr="00E01F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Общее руководство и контроль за ходом реализации муниципальной программы осуществляет заместитель Главы муниципального района Красноярский Самарской области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строительству, ЖКХ, ГО и ЧС</w:t>
            </w:r>
          </w:p>
        </w:tc>
      </w:tr>
    </w:tbl>
    <w:p w:rsidR="00262F7E" w:rsidRPr="000B364B" w:rsidRDefault="00262F7E" w:rsidP="00262F7E">
      <w:pPr>
        <w:widowControl/>
        <w:rPr>
          <w:rFonts w:ascii="Times New Roman" w:hAnsi="Times New Roman" w:cs="Times New Roman"/>
          <w:color w:val="auto"/>
          <w:sz w:val="28"/>
          <w:szCs w:val="20"/>
        </w:rPr>
      </w:pPr>
      <w:r w:rsidRPr="000B364B">
        <w:rPr>
          <w:rFonts w:ascii="Times New Roman" w:hAnsi="Times New Roman" w:cs="Times New Roman"/>
          <w:color w:val="auto"/>
          <w:sz w:val="28"/>
          <w:szCs w:val="20"/>
        </w:rPr>
        <w:t>».</w:t>
      </w:r>
    </w:p>
    <w:p w:rsidR="00262F7E" w:rsidRDefault="00262F7E" w:rsidP="00262F7E"/>
    <w:p w:rsidR="00AF5E4A" w:rsidRDefault="00AF5E4A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  <w:sectPr w:rsidR="00262F7E" w:rsidSect="00674CD8">
          <w:headerReference w:type="first" r:id="rId11"/>
          <w:pgSz w:w="11906" w:h="16838"/>
          <w:pgMar w:top="1134" w:right="1134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262F7E" w:rsidRPr="00183AF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F78BA">
        <w:rPr>
          <w:rFonts w:ascii="Times New Roman" w:hAnsi="Times New Roman" w:cs="Times New Roman"/>
          <w:color w:val="auto"/>
          <w:sz w:val="28"/>
          <w:szCs w:val="28"/>
        </w:rPr>
        <w:t>22.12.2022</w:t>
      </w:r>
      <w:r w:rsidRPr="00183AF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F78BA">
        <w:rPr>
          <w:rFonts w:ascii="Times New Roman" w:hAnsi="Times New Roman" w:cs="Times New Roman"/>
          <w:color w:val="auto"/>
          <w:sz w:val="28"/>
          <w:szCs w:val="28"/>
        </w:rPr>
        <w:t>349</w:t>
      </w:r>
    </w:p>
    <w:p w:rsidR="00262F7E" w:rsidRPr="00183AF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183AFA" w:rsidRDefault="00262F7E" w:rsidP="00262F7E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262F7E" w:rsidRPr="00183AFA" w:rsidTr="00FB0435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262F7E" w:rsidRPr="00183AFA" w:rsidTr="00FB043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F222D2" w:rsidRPr="00183AFA" w:rsidTr="00FB0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D2" w:rsidRPr="00183AFA" w:rsidRDefault="00F222D2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183AFA" w:rsidRDefault="00F222D2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203*</w:t>
            </w:r>
          </w:p>
        </w:tc>
      </w:tr>
      <w:tr w:rsidR="00F222D2" w:rsidRPr="00183AFA" w:rsidTr="00FB0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D2" w:rsidRPr="00183AFA" w:rsidRDefault="00F222D2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D2" w:rsidRPr="00183AFA" w:rsidRDefault="00F222D2" w:rsidP="00F222D2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F222D2" w:rsidRPr="00183AFA" w:rsidRDefault="00F222D2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F222D2" w:rsidRPr="00183AFA" w:rsidTr="00FB0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D2" w:rsidRPr="00183AFA" w:rsidRDefault="00F222D2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D2" w:rsidRPr="00183AFA" w:rsidRDefault="00F222D2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976E6F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D2" w:rsidRPr="00976E6F" w:rsidRDefault="00F222D2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976E6F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262F7E" w:rsidRPr="00183AFA" w:rsidTr="00FB0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824</w:t>
            </w:r>
          </w:p>
        </w:tc>
      </w:tr>
      <w:tr w:rsidR="00262F7E" w:rsidRPr="00183AFA" w:rsidTr="00FB0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262F7E" w:rsidRPr="00183AFA" w:rsidTr="00FB0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183AFA" w:rsidRDefault="00262F7E" w:rsidP="00FB0435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E" w:rsidRPr="00183AFA" w:rsidRDefault="00262F7E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F57EC9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:rsidR="00262F7E" w:rsidRPr="00F57EC9" w:rsidRDefault="00262F7E" w:rsidP="00262F7E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2019 году – 19 </w:t>
      </w:r>
      <w:r w:rsidRPr="00F57EC9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2020 году – 19 </w:t>
      </w:r>
      <w:r w:rsidRPr="00F57EC9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F57E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».</w:t>
      </w: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262F7E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  <w:sectPr w:rsidR="00262F7E" w:rsidSect="00262F7E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262F7E" w:rsidRPr="000B364B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F78BA">
        <w:rPr>
          <w:rFonts w:ascii="Times New Roman" w:hAnsi="Times New Roman" w:cs="Times New Roman"/>
          <w:color w:val="auto"/>
          <w:sz w:val="28"/>
          <w:szCs w:val="28"/>
        </w:rPr>
        <w:t>22.12.2022 №349</w:t>
      </w:r>
    </w:p>
    <w:p w:rsidR="00262F7E" w:rsidRPr="000B364B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0B364B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</w:p>
    <w:p w:rsidR="00262F7E" w:rsidRPr="000B364B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40"/>
        <w:gridCol w:w="3015"/>
        <w:gridCol w:w="808"/>
        <w:gridCol w:w="808"/>
        <w:gridCol w:w="806"/>
        <w:gridCol w:w="776"/>
        <w:gridCol w:w="776"/>
        <w:gridCol w:w="776"/>
        <w:gridCol w:w="776"/>
      </w:tblGrid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</w:p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</w:p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д. 206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Сельхозтехника,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Коммунистический,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Промысловая,               д. 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  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ул. Никонова,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ул. Никонова,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               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                         ул. Специалистов,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29А: корп. 1, корп. 2, корп. 3, корп. 4, корп. 5, корп. 6, корп. 7, корп.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Волжский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ул. Князева,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 ул. Сосновская, д. 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 ул. Пионерская, д. 9, 9А, 9Б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ул. Заводская, д. 11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 ул. Заводская,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ул. Заводская,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ул. Заводская, д. 16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ул. Заводская, д. 17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ул. Заводская,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ул.Железнодорожная,   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20 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Новая, д. 23, д. 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Новая,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ул. Мира, д. 9, д. 11,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Мира,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Ново-Садовая,           д. 11, д. 13, д. 14,                 д. 15, д. 16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Заводская, д. 13,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14,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ул. Заводская, д. 12,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Советская, д. 42,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44, д. 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Жигулевская,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Жигулевская,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Жигулевская,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      д. 10,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                    д. 12А, д. 14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16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 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                 д. 18А,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             д. 6, ул. Рудничная,                   д. 17, д. 18, д. 19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              д. 11, д. 13,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3,             д. 5, ул. Рудничная,       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Северная, д. 2    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Советская,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Полевая,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ул. Полевая,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Полевая,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Полевая,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ул. Строителей,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Строителей,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Нефтяников,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Нефтяников,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Нефтяников,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ул. Нефтяников,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Нефтяников,              д. 18, д. 18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Шоссейная,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д.1А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П. Морозова,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П. Морозова,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П. Морозова,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ул.П. Морозова,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ул. П. Морозова,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ул. П. Морозова,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          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Песочная,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Песочная,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Песочная,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ул. Песочная,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Песочная,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Песочная,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Песочная,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Песочная,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Песочная,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Песочная,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       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ул.З.Космодемьянской,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 ул. Нагорная,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  ул. Нагорная,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   ул. Нагорная,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 ул. Нагорная,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Нагорная,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Заводская, д. 17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</w:p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           д. 2, д. 4, д. 6, д. 8,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ул. Ленина,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ул. Ленина,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ул. Ленина,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ул. Ленина,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ул. Школьная,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ул. Школьная,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ул. Школьная,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  ул. Школьная,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ул. Школьная,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2F7E" w:rsidRPr="000B364B" w:rsidTr="00FB043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7E" w:rsidRPr="000B364B" w:rsidRDefault="00262F7E" w:rsidP="00FB04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 ул. Школьная,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E" w:rsidRPr="000B364B" w:rsidRDefault="00262F7E" w:rsidP="00FB04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62F7E" w:rsidRPr="00B436AD" w:rsidRDefault="00262F7E" w:rsidP="00262F7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скорректирован </w:t>
      </w:r>
      <w:r w:rsidRPr="00B436AD">
        <w:rPr>
          <w:rFonts w:ascii="Times New Roman" w:hAnsi="Times New Roman" w:cs="Times New Roman"/>
          <w:color w:val="auto"/>
          <w:sz w:val="28"/>
          <w:szCs w:val="28"/>
        </w:rPr>
        <w:t>с учетом фактически выполненных работ в 2018 - 2022 годах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62F7E" w:rsidRPr="00F57EC9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262F7E" w:rsidRPr="00183AFA" w:rsidRDefault="00262F7E" w:rsidP="00262F7E">
      <w:pPr>
        <w:rPr>
          <w:color w:val="auto"/>
        </w:rPr>
      </w:pPr>
    </w:p>
    <w:p w:rsidR="00262F7E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AD1042" w:rsidRPr="000B364B" w:rsidRDefault="00AD1042" w:rsidP="00AD1042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9B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6AB6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F78BA">
        <w:rPr>
          <w:rFonts w:ascii="Times New Roman" w:hAnsi="Times New Roman" w:cs="Times New Roman"/>
          <w:color w:val="auto"/>
          <w:sz w:val="28"/>
          <w:szCs w:val="28"/>
        </w:rPr>
        <w:t xml:space="preserve">22.12.2022 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1F78BA">
        <w:rPr>
          <w:rFonts w:ascii="Times New Roman" w:hAnsi="Times New Roman" w:cs="Times New Roman"/>
          <w:color w:val="auto"/>
          <w:sz w:val="28"/>
          <w:szCs w:val="28"/>
        </w:rPr>
        <w:t>349</w:t>
      </w:r>
    </w:p>
    <w:p w:rsidR="00AD1042" w:rsidRPr="000B364B" w:rsidRDefault="00AD1042" w:rsidP="00AD1042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22"/>
        <w:gridCol w:w="2780"/>
        <w:gridCol w:w="851"/>
        <w:gridCol w:w="848"/>
        <w:gridCol w:w="900"/>
        <w:gridCol w:w="852"/>
        <w:gridCol w:w="776"/>
        <w:gridCol w:w="776"/>
        <w:gridCol w:w="776"/>
      </w:tblGrid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              ул. Школьная,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            ул. Советская, д. 33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               ул. Песочная, д. 2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Волжский,             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Буян,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Степная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Комсомольская,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           ул. Рабочий городок,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Комсомольская,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Белозерки,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Озерная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                         ул. Матюгина, д. 92 А и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Дорожная,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ул. Радио, д.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ул. Мира,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                ул. Нефтяников,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Хилково,                   ул. Школьная, д.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в границах ул. Мира, д. 2,9,11 и                              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Новосадовая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                      ул. Советская и              ул.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FB04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Хилково,                       ул. Рабочая,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bookmarkEnd w:id="2"/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земельный участок с кадастровым номером 63:26:2203015:1254 в границах                           ул. Центральная, проезд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ервый Безымянный,              ул. Спортивная,            ул. Олимпийская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                   ул. Зои Космодемьянской,             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Буян,  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Зелёная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ул. Почтовая д. 22 до д. 4 по ул. Речная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Волжский,                     ул. Советская, д. 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Светлое Поле,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уч.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FB043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D1042" w:rsidRPr="000B364B" w:rsidRDefault="00AD1042" w:rsidP="00AD1042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p w:rsidR="00AD1042" w:rsidRDefault="00AD1042" w:rsidP="00AD1042"/>
    <w:p w:rsidR="00AD1042" w:rsidRDefault="00AD1042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71E90" w:rsidRDefault="00571E90"/>
    <w:sectPr w:rsidR="00571E90" w:rsidSect="00674CD8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2C" w:rsidRDefault="00C24D2C" w:rsidP="001353E0">
      <w:r>
        <w:separator/>
      </w:r>
    </w:p>
  </w:endnote>
  <w:endnote w:type="continuationSeparator" w:id="0">
    <w:p w:rsidR="00C24D2C" w:rsidRDefault="00C24D2C" w:rsidP="0013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2C" w:rsidRDefault="00C24D2C" w:rsidP="001353E0">
      <w:r>
        <w:separator/>
      </w:r>
    </w:p>
  </w:footnote>
  <w:footnote w:type="continuationSeparator" w:id="0">
    <w:p w:rsidR="00C24D2C" w:rsidRDefault="00C24D2C" w:rsidP="0013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00083398"/>
      <w:docPartObj>
        <w:docPartGallery w:val="Page Numbers (Top of Page)"/>
        <w:docPartUnique/>
      </w:docPartObj>
    </w:sdtPr>
    <w:sdtContent>
      <w:p w:rsidR="001F78BA" w:rsidRPr="001353E0" w:rsidRDefault="001F78BA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177756">
          <w:rPr>
            <w:rFonts w:ascii="Times New Roman" w:hAnsi="Times New Roman" w:cs="Times New Roman"/>
            <w:noProof/>
          </w:rPr>
          <w:t>2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:rsidR="001F78BA" w:rsidRDefault="001F78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BA" w:rsidRPr="00B01950" w:rsidRDefault="001F78BA">
    <w:pPr>
      <w:pStyle w:val="a4"/>
      <w:jc w:val="center"/>
      <w:rPr>
        <w:rFonts w:ascii="Times New Roman" w:hAnsi="Times New Roman" w:cs="Times New Roman"/>
        <w:color w:val="auto"/>
        <w:sz w:val="38"/>
        <w:szCs w:val="38"/>
      </w:rPr>
    </w:pPr>
  </w:p>
  <w:p w:rsidR="001F78BA" w:rsidRPr="00042CA4" w:rsidRDefault="001F78BA" w:rsidP="00FB0435">
    <w:pPr>
      <w:pStyle w:val="a4"/>
      <w:jc w:val="right"/>
      <w:rPr>
        <w:rFonts w:ascii="Times New Roman" w:hAnsi="Times New Roman" w:cs="Times New Roman"/>
        <w:b/>
        <w:color w:val="FFFFFF" w:themeColor="background1"/>
        <w:sz w:val="38"/>
        <w:szCs w:val="38"/>
      </w:rPr>
    </w:pPr>
    <w:r w:rsidRPr="00042CA4">
      <w:rPr>
        <w:rFonts w:ascii="Times New Roman" w:hAnsi="Times New Roman" w:cs="Times New Roman"/>
        <w:b/>
        <w:color w:val="FFFFFF" w:themeColor="background1"/>
        <w:sz w:val="38"/>
        <w:szCs w:val="3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BA" w:rsidRPr="008F1156" w:rsidRDefault="001F78BA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7519"/>
    <w:rsid w:val="00024A14"/>
    <w:rsid w:val="00042CA4"/>
    <w:rsid w:val="00043FA5"/>
    <w:rsid w:val="000A2C76"/>
    <w:rsid w:val="001353E0"/>
    <w:rsid w:val="001611D6"/>
    <w:rsid w:val="00177756"/>
    <w:rsid w:val="001E55EA"/>
    <w:rsid w:val="001F78BA"/>
    <w:rsid w:val="002064B0"/>
    <w:rsid w:val="00262F7E"/>
    <w:rsid w:val="00293116"/>
    <w:rsid w:val="002F0587"/>
    <w:rsid w:val="002F665C"/>
    <w:rsid w:val="00365388"/>
    <w:rsid w:val="00377CEA"/>
    <w:rsid w:val="003E6D39"/>
    <w:rsid w:val="00491F3A"/>
    <w:rsid w:val="00525ACF"/>
    <w:rsid w:val="00554868"/>
    <w:rsid w:val="00567519"/>
    <w:rsid w:val="00571E90"/>
    <w:rsid w:val="00590A59"/>
    <w:rsid w:val="005E546D"/>
    <w:rsid w:val="006237AD"/>
    <w:rsid w:val="00671F2C"/>
    <w:rsid w:val="00674CD8"/>
    <w:rsid w:val="006C3305"/>
    <w:rsid w:val="00746D43"/>
    <w:rsid w:val="007D6D2C"/>
    <w:rsid w:val="008075B3"/>
    <w:rsid w:val="00896A85"/>
    <w:rsid w:val="008B0EE8"/>
    <w:rsid w:val="009034DC"/>
    <w:rsid w:val="00921D52"/>
    <w:rsid w:val="00923CBC"/>
    <w:rsid w:val="009B53E7"/>
    <w:rsid w:val="00AD1042"/>
    <w:rsid w:val="00AF5E4A"/>
    <w:rsid w:val="00B01950"/>
    <w:rsid w:val="00B93123"/>
    <w:rsid w:val="00BD0EDC"/>
    <w:rsid w:val="00C24D2C"/>
    <w:rsid w:val="00C86097"/>
    <w:rsid w:val="00CD2856"/>
    <w:rsid w:val="00D16AB6"/>
    <w:rsid w:val="00E60959"/>
    <w:rsid w:val="00EA612C"/>
    <w:rsid w:val="00F222D2"/>
    <w:rsid w:val="00F95BC7"/>
    <w:rsid w:val="00FB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262F7E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262F7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62F7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26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62F7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F7E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262F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62F7E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262F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262F7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262F7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61DF-78E0-48B2-B6F0-BE490DF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23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User13</cp:lastModifiedBy>
  <cp:revision>12</cp:revision>
  <cp:lastPrinted>2022-12-22T10:57:00Z</cp:lastPrinted>
  <dcterms:created xsi:type="dcterms:W3CDTF">2022-12-08T08:06:00Z</dcterms:created>
  <dcterms:modified xsi:type="dcterms:W3CDTF">2022-12-22T11:33:00Z</dcterms:modified>
</cp:coreProperties>
</file>